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074D2" w14:textId="346B7390" w:rsidR="00064732" w:rsidRPr="00064732" w:rsidRDefault="00064732" w:rsidP="00064732">
      <w:pPr>
        <w:spacing w:after="0" w:line="276" w:lineRule="auto"/>
        <w:contextualSpacing/>
        <w:rPr>
          <w:rFonts w:ascii="Book Antiqua" w:hAnsi="Book Antiqua" w:cs="Arial"/>
          <w:b/>
          <w:kern w:val="0"/>
          <w:sz w:val="23"/>
          <w:szCs w:val="23"/>
          <w:lang w:val="en-GB"/>
          <w14:ligatures w14:val="none"/>
        </w:rPr>
      </w:pPr>
      <w:bookmarkStart w:id="0" w:name="_GoBack"/>
      <w:bookmarkEnd w:id="0"/>
      <w:r w:rsidRPr="00064732">
        <w:rPr>
          <w:rFonts w:ascii="Book Antiqua" w:hAnsi="Book Antiqua" w:cs="Arial"/>
          <w:b/>
          <w:kern w:val="0"/>
          <w:sz w:val="23"/>
          <w:szCs w:val="23"/>
          <w:u w:val="single"/>
          <w:lang w:val="en-GB"/>
          <w14:ligatures w14:val="none"/>
        </w:rPr>
        <w:t>HIGH COURT OF JUSTICE</w:t>
      </w:r>
      <w:r w:rsidRPr="00064732">
        <w:rPr>
          <w:rFonts w:ascii="Book Antiqua" w:hAnsi="Book Antiqua" w:cs="Arial"/>
          <w:b/>
          <w:kern w:val="0"/>
          <w:sz w:val="23"/>
          <w:szCs w:val="23"/>
          <w:lang w:val="en-GB"/>
          <w14:ligatures w14:val="none"/>
        </w:rPr>
        <w:t xml:space="preserve"> </w:t>
      </w:r>
      <w:r w:rsidRPr="00064732">
        <w:rPr>
          <w:rFonts w:ascii="Book Antiqua" w:hAnsi="Book Antiqua" w:cs="Arial"/>
          <w:b/>
          <w:kern w:val="0"/>
          <w:sz w:val="23"/>
          <w:szCs w:val="23"/>
          <w:lang w:val="en-GB"/>
          <w14:ligatures w14:val="none"/>
        </w:rPr>
        <w:tab/>
      </w:r>
      <w:r w:rsidRPr="00064732">
        <w:rPr>
          <w:rFonts w:ascii="Book Antiqua" w:hAnsi="Book Antiqua" w:cs="Arial"/>
          <w:b/>
          <w:kern w:val="0"/>
          <w:sz w:val="23"/>
          <w:szCs w:val="23"/>
          <w:lang w:val="en-GB"/>
          <w14:ligatures w14:val="none"/>
        </w:rPr>
        <w:tab/>
        <w:t xml:space="preserve">      </w:t>
      </w:r>
      <w:r w:rsidRPr="00064732">
        <w:rPr>
          <w:rFonts w:ascii="Book Antiqua" w:hAnsi="Book Antiqua" w:cs="Arial"/>
          <w:b/>
          <w:kern w:val="0"/>
          <w:sz w:val="23"/>
          <w:szCs w:val="23"/>
          <w:lang w:val="en-GB"/>
          <w14:ligatures w14:val="none"/>
        </w:rPr>
        <w:tab/>
      </w:r>
      <w:r w:rsidR="00161D21">
        <w:rPr>
          <w:rFonts w:ascii="Book Antiqua" w:hAnsi="Book Antiqua" w:cs="Arial"/>
          <w:b/>
          <w:kern w:val="0"/>
          <w:sz w:val="23"/>
          <w:szCs w:val="23"/>
          <w:lang w:val="en-GB"/>
          <w14:ligatures w14:val="none"/>
        </w:rPr>
        <w:tab/>
      </w:r>
      <w:r w:rsidRPr="00064732">
        <w:rPr>
          <w:rFonts w:ascii="Book Antiqua" w:hAnsi="Book Antiqua" w:cs="Arial"/>
          <w:b/>
          <w:kern w:val="0"/>
          <w:sz w:val="23"/>
          <w:szCs w:val="23"/>
          <w:lang w:val="en-GB"/>
          <w14:ligatures w14:val="none"/>
        </w:rPr>
        <w:t>C</w:t>
      </w:r>
      <w:r w:rsidRPr="00064732">
        <w:rPr>
          <w:rFonts w:ascii="Book Antiqua" w:hAnsi="Book Antiqua" w:cs="Arial"/>
          <w:b/>
          <w:caps/>
          <w:kern w:val="0"/>
          <w:sz w:val="23"/>
          <w:szCs w:val="23"/>
          <w:lang w:val="en-GB"/>
          <w14:ligatures w14:val="none"/>
        </w:rPr>
        <w:t>laim No:</w:t>
      </w:r>
      <w:r w:rsidRPr="00064732">
        <w:rPr>
          <w:rFonts w:ascii="Book Antiqua" w:hAnsi="Book Antiqua" w:cs="Arial"/>
          <w:b/>
          <w:caps/>
          <w:kern w:val="0"/>
          <w:sz w:val="23"/>
          <w:szCs w:val="23"/>
          <w:lang w:val="en-GB"/>
          <w14:ligatures w14:val="none"/>
        </w:rPr>
        <w:tab/>
      </w:r>
      <w:r w:rsidR="004275F9">
        <w:rPr>
          <w:rFonts w:ascii="Book Antiqua" w:hAnsi="Book Antiqua" w:cs="Arial"/>
          <w:b/>
          <w:caps/>
          <w:kern w:val="0"/>
          <w:sz w:val="23"/>
          <w:szCs w:val="23"/>
          <w:lang w:val="en-GB"/>
          <w14:ligatures w14:val="none"/>
        </w:rPr>
        <w:t>K</w:t>
      </w:r>
      <w:r w:rsidR="00D01389">
        <w:rPr>
          <w:rFonts w:ascii="Book Antiqua" w:hAnsi="Book Antiqua" w:cs="Arial"/>
          <w:b/>
          <w:caps/>
          <w:kern w:val="0"/>
          <w:sz w:val="23"/>
          <w:szCs w:val="23"/>
          <w:lang w:val="en-GB"/>
          <w14:ligatures w14:val="none"/>
        </w:rPr>
        <w:t>B-2025-000497</w:t>
      </w:r>
    </w:p>
    <w:p w14:paraId="084E4C66" w14:textId="37C0CD6D" w:rsidR="00064732" w:rsidRPr="00064732" w:rsidRDefault="00064732" w:rsidP="00064732">
      <w:pPr>
        <w:keepNext/>
        <w:tabs>
          <w:tab w:val="left" w:pos="1021"/>
        </w:tabs>
        <w:spacing w:after="0" w:line="276" w:lineRule="auto"/>
        <w:jc w:val="both"/>
        <w:outlineLvl w:val="5"/>
        <w:rPr>
          <w:rFonts w:ascii="Book Antiqua" w:hAnsi="Book Antiqua"/>
          <w:b/>
          <w:bCs/>
          <w:caps/>
          <w:spacing w:val="-3"/>
          <w:kern w:val="0"/>
          <w:sz w:val="23"/>
          <w:szCs w:val="23"/>
          <w:u w:val="single"/>
          <w:lang w:val="en-GB"/>
          <w14:ligatures w14:val="none"/>
        </w:rPr>
      </w:pPr>
      <w:r w:rsidRPr="00064732">
        <w:rPr>
          <w:rFonts w:ascii="Book Antiqua" w:hAnsi="Book Antiqua"/>
          <w:b/>
          <w:bCs/>
          <w:caps/>
          <w:spacing w:val="-3"/>
          <w:kern w:val="0"/>
          <w:sz w:val="23"/>
          <w:szCs w:val="23"/>
          <w:u w:val="single"/>
          <w:lang w:val="en-GB"/>
          <w14:ligatures w14:val="none"/>
        </w:rPr>
        <w:t>KING</w:t>
      </w:r>
      <w:r w:rsidR="00FA3AA7">
        <w:rPr>
          <w:rFonts w:ascii="Book Antiqua" w:hAnsi="Book Antiqua"/>
          <w:b/>
          <w:bCs/>
          <w:caps/>
          <w:spacing w:val="-3"/>
          <w:kern w:val="0"/>
          <w:sz w:val="23"/>
          <w:szCs w:val="23"/>
          <w:u w:val="single"/>
          <w:lang w:val="en-GB"/>
          <w14:ligatures w14:val="none"/>
        </w:rPr>
        <w:t>’S</w:t>
      </w:r>
      <w:r w:rsidRPr="00064732">
        <w:rPr>
          <w:rFonts w:ascii="Book Antiqua" w:hAnsi="Book Antiqua"/>
          <w:b/>
          <w:bCs/>
          <w:caps/>
          <w:spacing w:val="-3"/>
          <w:kern w:val="0"/>
          <w:sz w:val="23"/>
          <w:szCs w:val="23"/>
          <w:u w:val="single"/>
          <w:lang w:val="en-GB"/>
          <w14:ligatures w14:val="none"/>
        </w:rPr>
        <w:t xml:space="preserve"> BENCH DIVISION </w:t>
      </w:r>
    </w:p>
    <w:p w14:paraId="2C3D0E9E" w14:textId="77777777" w:rsidR="00CF397A" w:rsidRDefault="00CF397A" w:rsidP="00131751">
      <w:pPr>
        <w:tabs>
          <w:tab w:val="left" w:pos="1021"/>
        </w:tabs>
        <w:spacing w:after="0" w:line="240" w:lineRule="auto"/>
        <w:contextualSpacing/>
        <w:jc w:val="both"/>
        <w:rPr>
          <w:rFonts w:ascii="Book Antiqua" w:eastAsia="Calibri" w:hAnsi="Book Antiqua" w:cs="Arial"/>
          <w:b/>
          <w:bCs/>
          <w:kern w:val="0"/>
          <w:sz w:val="23"/>
          <w:szCs w:val="23"/>
          <w:lang w:val="en-GB"/>
          <w14:ligatures w14:val="none"/>
        </w:rPr>
      </w:pPr>
      <w:r>
        <w:rPr>
          <w:rFonts w:ascii="Book Antiqua" w:eastAsia="Calibri" w:hAnsi="Book Antiqua" w:cs="Arial"/>
          <w:b/>
          <w:bCs/>
          <w:kern w:val="0"/>
          <w:sz w:val="23"/>
          <w:szCs w:val="23"/>
          <w:lang w:val="en-GB"/>
          <w14:ligatures w14:val="none"/>
        </w:rPr>
        <w:t>IN THE MATTER OF AN APPLICATION FOR INJUNCTIVE RELIEF</w:t>
      </w:r>
    </w:p>
    <w:p w14:paraId="3ED589B2" w14:textId="4D1EA8C3" w:rsidR="00064732" w:rsidRPr="00064732" w:rsidRDefault="00064732" w:rsidP="00131751">
      <w:pPr>
        <w:tabs>
          <w:tab w:val="left" w:pos="1021"/>
        </w:tabs>
        <w:spacing w:after="0" w:line="240" w:lineRule="auto"/>
        <w:contextualSpacing/>
        <w:jc w:val="both"/>
        <w:rPr>
          <w:rFonts w:ascii="Book Antiqua" w:eastAsia="Calibri" w:hAnsi="Book Antiqua" w:cs="Arial"/>
          <w:b/>
          <w:bCs/>
          <w:kern w:val="0"/>
          <w:sz w:val="23"/>
          <w:szCs w:val="23"/>
          <w:lang w:val="en-GB"/>
          <w14:ligatures w14:val="none"/>
        </w:rPr>
      </w:pPr>
      <w:r w:rsidRPr="00064732">
        <w:rPr>
          <w:rFonts w:ascii="Book Antiqua" w:eastAsia="Calibri" w:hAnsi="Book Antiqua" w:cs="Arial"/>
          <w:b/>
          <w:bCs/>
          <w:kern w:val="0"/>
          <w:sz w:val="23"/>
          <w:szCs w:val="23"/>
          <w:lang w:val="en-GB"/>
          <w14:ligatures w14:val="none"/>
        </w:rPr>
        <w:t>BETWEEN:-</w:t>
      </w:r>
    </w:p>
    <w:p w14:paraId="211044B0" w14:textId="77777777" w:rsidR="00064732" w:rsidRPr="00064732" w:rsidRDefault="00064732" w:rsidP="00064732">
      <w:pPr>
        <w:spacing w:after="0" w:line="240" w:lineRule="auto"/>
        <w:rPr>
          <w:rFonts w:ascii="Book Antiqua" w:hAnsi="Book Antiqua" w:cs="Arial"/>
          <w:b/>
          <w:kern w:val="0"/>
          <w:sz w:val="23"/>
          <w:szCs w:val="23"/>
          <w:lang w:val="en-GB"/>
          <w14:ligatures w14:val="none"/>
        </w:rPr>
      </w:pPr>
      <w:r w:rsidRPr="00064732">
        <w:rPr>
          <w:rFonts w:ascii="Book Antiqua" w:hAnsi="Book Antiqua" w:cs="Arial"/>
          <w:b/>
          <w:kern w:val="0"/>
          <w:sz w:val="23"/>
          <w:szCs w:val="23"/>
          <w:lang w:val="en-GB"/>
          <w14:ligatures w14:val="none"/>
        </w:rPr>
        <w:tab/>
      </w:r>
      <w:r w:rsidRPr="00064732">
        <w:rPr>
          <w:rFonts w:ascii="Book Antiqua" w:hAnsi="Book Antiqua" w:cs="Arial"/>
          <w:b/>
          <w:kern w:val="0"/>
          <w:sz w:val="23"/>
          <w:szCs w:val="23"/>
          <w:lang w:val="en-GB"/>
          <w14:ligatures w14:val="none"/>
        </w:rPr>
        <w:tab/>
      </w:r>
      <w:r w:rsidRPr="00064732">
        <w:rPr>
          <w:rFonts w:ascii="Book Antiqua" w:hAnsi="Book Antiqua" w:cs="Arial"/>
          <w:b/>
          <w:kern w:val="0"/>
          <w:sz w:val="23"/>
          <w:szCs w:val="23"/>
          <w:lang w:val="en-GB"/>
          <w14:ligatures w14:val="none"/>
        </w:rPr>
        <w:tab/>
      </w:r>
      <w:r w:rsidRPr="00064732">
        <w:rPr>
          <w:rFonts w:ascii="Book Antiqua" w:hAnsi="Book Antiqua" w:cs="Arial"/>
          <w:b/>
          <w:kern w:val="0"/>
          <w:sz w:val="23"/>
          <w:szCs w:val="23"/>
          <w:lang w:val="en-GB"/>
          <w14:ligatures w14:val="none"/>
        </w:rPr>
        <w:tab/>
        <w:t xml:space="preserve">    </w:t>
      </w:r>
      <w:r w:rsidRPr="00064732">
        <w:rPr>
          <w:rFonts w:ascii="Book Antiqua" w:hAnsi="Book Antiqua" w:cs="Arial"/>
          <w:b/>
          <w:kern w:val="0"/>
          <w:sz w:val="23"/>
          <w:szCs w:val="23"/>
          <w:lang w:val="en-GB"/>
          <w14:ligatures w14:val="none"/>
        </w:rPr>
        <w:tab/>
      </w:r>
      <w:r w:rsidRPr="00064732">
        <w:rPr>
          <w:rFonts w:ascii="Book Antiqua" w:hAnsi="Book Antiqua" w:cs="Arial"/>
          <w:b/>
          <w:kern w:val="0"/>
          <w:sz w:val="23"/>
          <w:szCs w:val="23"/>
          <w:lang w:val="en-GB"/>
          <w14:ligatures w14:val="none"/>
        </w:rPr>
        <w:tab/>
      </w:r>
      <w:r w:rsidRPr="00064732">
        <w:rPr>
          <w:rFonts w:ascii="Book Antiqua" w:hAnsi="Book Antiqua" w:cs="Arial"/>
          <w:b/>
          <w:kern w:val="0"/>
          <w:sz w:val="23"/>
          <w:szCs w:val="23"/>
          <w:lang w:val="en-GB"/>
          <w14:ligatures w14:val="none"/>
        </w:rPr>
        <w:tab/>
      </w:r>
      <w:r w:rsidRPr="00064732">
        <w:rPr>
          <w:rFonts w:ascii="Book Antiqua" w:hAnsi="Book Antiqua" w:cs="Arial"/>
          <w:b/>
          <w:kern w:val="0"/>
          <w:sz w:val="23"/>
          <w:szCs w:val="23"/>
          <w:lang w:val="en-GB"/>
          <w14:ligatures w14:val="none"/>
        </w:rPr>
        <w:tab/>
      </w:r>
      <w:r w:rsidRPr="00064732">
        <w:rPr>
          <w:rFonts w:ascii="Book Antiqua" w:hAnsi="Book Antiqua" w:cs="Arial"/>
          <w:b/>
          <w:kern w:val="0"/>
          <w:sz w:val="23"/>
          <w:szCs w:val="23"/>
          <w:lang w:val="en-GB"/>
          <w14:ligatures w14:val="none"/>
        </w:rPr>
        <w:tab/>
      </w:r>
    </w:p>
    <w:p w14:paraId="0827D14F" w14:textId="706920CF" w:rsidR="00064732" w:rsidRPr="00064732" w:rsidRDefault="00FA3AA7" w:rsidP="00131751">
      <w:pPr>
        <w:keepNext/>
        <w:spacing w:after="0" w:line="240" w:lineRule="auto"/>
        <w:jc w:val="center"/>
        <w:outlineLvl w:val="1"/>
        <w:rPr>
          <w:rFonts w:ascii="Book Antiqua" w:hAnsi="Book Antiqua" w:cs="Arial"/>
          <w:b/>
          <w:kern w:val="0"/>
          <w:sz w:val="23"/>
          <w:szCs w:val="23"/>
          <w:lang w:val="en-GB"/>
          <w14:ligatures w14:val="none"/>
        </w:rPr>
      </w:pPr>
      <w:r>
        <w:rPr>
          <w:rFonts w:ascii="Book Antiqua" w:hAnsi="Book Antiqua" w:cs="Arial"/>
          <w:b/>
          <w:kern w:val="0"/>
          <w:sz w:val="23"/>
          <w:szCs w:val="23"/>
          <w:lang w:val="en-GB"/>
          <w14:ligatures w14:val="none"/>
        </w:rPr>
        <w:t xml:space="preserve">THE </w:t>
      </w:r>
      <w:r w:rsidR="00064732" w:rsidRPr="00064732">
        <w:rPr>
          <w:rFonts w:ascii="Book Antiqua" w:hAnsi="Book Antiqua" w:cs="Arial"/>
          <w:b/>
          <w:kern w:val="0"/>
          <w:sz w:val="23"/>
          <w:szCs w:val="23"/>
          <w:lang w:val="en-GB"/>
          <w14:ligatures w14:val="none"/>
        </w:rPr>
        <w:t xml:space="preserve">CHANCELLOR, MASTERS AND SCHOLARS </w:t>
      </w:r>
    </w:p>
    <w:p w14:paraId="7A956E1B" w14:textId="77777777" w:rsidR="00064732" w:rsidRPr="00064732" w:rsidRDefault="00064732" w:rsidP="00131751">
      <w:pPr>
        <w:keepNext/>
        <w:spacing w:after="0" w:line="240" w:lineRule="auto"/>
        <w:jc w:val="center"/>
        <w:outlineLvl w:val="1"/>
        <w:rPr>
          <w:rFonts w:ascii="Book Antiqua" w:hAnsi="Book Antiqua" w:cs="Arial"/>
          <w:b/>
          <w:kern w:val="0"/>
          <w:sz w:val="23"/>
          <w:szCs w:val="23"/>
          <w:lang w:val="en-GB"/>
          <w14:ligatures w14:val="none"/>
        </w:rPr>
      </w:pPr>
      <w:r w:rsidRPr="00064732">
        <w:rPr>
          <w:rFonts w:ascii="Book Antiqua" w:hAnsi="Book Antiqua" w:cs="Arial"/>
          <w:b/>
          <w:kern w:val="0"/>
          <w:sz w:val="23"/>
          <w:szCs w:val="23"/>
          <w:lang w:val="en-GB"/>
          <w14:ligatures w14:val="none"/>
        </w:rPr>
        <w:t>OF THE UNIVERSITY OF CAMBRIDGE</w:t>
      </w:r>
    </w:p>
    <w:p w14:paraId="51ADFAAB" w14:textId="77777777" w:rsidR="00064732" w:rsidRPr="00064732" w:rsidRDefault="00064732" w:rsidP="00131751">
      <w:pPr>
        <w:spacing w:after="220" w:line="240" w:lineRule="auto"/>
        <w:ind w:left="6480" w:firstLine="720"/>
        <w:jc w:val="right"/>
        <w:rPr>
          <w:rFonts w:ascii="Book Antiqua" w:hAnsi="Book Antiqua" w:cs="Arial"/>
          <w:b/>
          <w:kern w:val="0"/>
          <w:sz w:val="23"/>
          <w:szCs w:val="23"/>
          <w:u w:val="single"/>
          <w:lang w:val="en-GB"/>
          <w14:ligatures w14:val="none"/>
        </w:rPr>
      </w:pPr>
      <w:r w:rsidRPr="00064732">
        <w:rPr>
          <w:rFonts w:ascii="Book Antiqua" w:hAnsi="Book Antiqua" w:cs="Arial"/>
          <w:b/>
          <w:kern w:val="0"/>
          <w:sz w:val="23"/>
          <w:szCs w:val="23"/>
          <w:u w:val="single"/>
          <w:lang w:val="en-GB"/>
          <w14:ligatures w14:val="none"/>
        </w:rPr>
        <w:t>Claimant</w:t>
      </w:r>
    </w:p>
    <w:p w14:paraId="1A764B83" w14:textId="77777777" w:rsidR="00064732" w:rsidRPr="00064732" w:rsidRDefault="00064732" w:rsidP="00131751">
      <w:pPr>
        <w:spacing w:after="220" w:line="240" w:lineRule="auto"/>
        <w:jc w:val="center"/>
        <w:rPr>
          <w:rFonts w:ascii="Book Antiqua" w:hAnsi="Book Antiqua" w:cs="Arial"/>
          <w:b/>
          <w:kern w:val="0"/>
          <w:sz w:val="23"/>
          <w:szCs w:val="23"/>
          <w:lang w:val="en-GB"/>
          <w14:ligatures w14:val="none"/>
        </w:rPr>
      </w:pPr>
      <w:r w:rsidRPr="00064732">
        <w:rPr>
          <w:rFonts w:ascii="Book Antiqua" w:hAnsi="Book Antiqua" w:cs="Arial"/>
          <w:b/>
          <w:kern w:val="0"/>
          <w:sz w:val="23"/>
          <w:szCs w:val="23"/>
          <w:lang w:val="en-GB"/>
          <w14:ligatures w14:val="none"/>
        </w:rPr>
        <w:t>- v -</w:t>
      </w:r>
    </w:p>
    <w:p w14:paraId="35734052" w14:textId="6A3162FB" w:rsidR="00064732" w:rsidRPr="00064732" w:rsidRDefault="00064732" w:rsidP="00131751">
      <w:pPr>
        <w:spacing w:after="0" w:line="240" w:lineRule="auto"/>
        <w:ind w:left="502"/>
        <w:contextualSpacing/>
        <w:jc w:val="center"/>
        <w:rPr>
          <w:rFonts w:ascii="Book Antiqua" w:hAnsi="Book Antiqua" w:cs="Arial"/>
          <w:b/>
          <w:kern w:val="0"/>
          <w:sz w:val="20"/>
          <w:szCs w:val="20"/>
          <w:lang w:val="en-GB"/>
          <w14:ligatures w14:val="none"/>
        </w:rPr>
      </w:pPr>
      <w:r w:rsidRPr="00064732">
        <w:rPr>
          <w:rFonts w:ascii="Book Antiqua" w:hAnsi="Book Antiqua" w:cs="Arial"/>
          <w:b/>
          <w:kern w:val="0"/>
          <w:sz w:val="23"/>
          <w:szCs w:val="23"/>
          <w:lang w:val="en-GB"/>
          <w14:ligatures w14:val="none"/>
        </w:rPr>
        <w:t xml:space="preserve">PERSONS UNKNOWN </w:t>
      </w:r>
    </w:p>
    <w:p w14:paraId="7B69D257" w14:textId="77777777" w:rsidR="00064732" w:rsidRDefault="00064732" w:rsidP="006F6DEA">
      <w:pPr>
        <w:spacing w:after="0" w:line="240" w:lineRule="auto"/>
        <w:jc w:val="right"/>
        <w:rPr>
          <w:rFonts w:ascii="Book Antiqua" w:hAnsi="Book Antiqua"/>
          <w:b/>
          <w:bCs/>
          <w:kern w:val="0"/>
          <w:sz w:val="23"/>
          <w:szCs w:val="23"/>
          <w:u w:val="single"/>
          <w:lang w:val="en-GB"/>
          <w14:ligatures w14:val="none"/>
        </w:rPr>
      </w:pPr>
      <w:r w:rsidRPr="00064732">
        <w:rPr>
          <w:rFonts w:ascii="Book Antiqua" w:hAnsi="Book Antiqua"/>
          <w:b/>
          <w:bCs/>
          <w:kern w:val="0"/>
          <w:sz w:val="23"/>
          <w:szCs w:val="23"/>
          <w:u w:val="single"/>
          <w:lang w:val="en-GB"/>
          <w14:ligatures w14:val="none"/>
        </w:rPr>
        <w:t>Defendants</w:t>
      </w:r>
    </w:p>
    <w:p w14:paraId="04FA817A" w14:textId="77777777" w:rsidR="00C9262F" w:rsidRDefault="00C9262F" w:rsidP="006F6DEA">
      <w:pPr>
        <w:spacing w:after="0" w:line="240" w:lineRule="auto"/>
        <w:jc w:val="right"/>
        <w:rPr>
          <w:rFonts w:ascii="Book Antiqua" w:hAnsi="Book Antiqua"/>
          <w:b/>
          <w:bCs/>
          <w:kern w:val="0"/>
          <w:sz w:val="23"/>
          <w:szCs w:val="23"/>
          <w:u w:val="single"/>
          <w:lang w:val="en-GB"/>
          <w14:ligatures w14:val="none"/>
        </w:rPr>
      </w:pPr>
    </w:p>
    <w:p w14:paraId="04727DA7" w14:textId="2B7D5DBF" w:rsidR="00C9262F" w:rsidRDefault="00C9262F" w:rsidP="00C9262F">
      <w:pPr>
        <w:spacing w:after="0" w:line="240" w:lineRule="auto"/>
        <w:jc w:val="center"/>
        <w:rPr>
          <w:rFonts w:ascii="Book Antiqua" w:hAnsi="Book Antiqua"/>
          <w:kern w:val="0"/>
          <w:sz w:val="23"/>
          <w:szCs w:val="23"/>
          <w:lang w:val="en-GB"/>
          <w14:ligatures w14:val="none"/>
        </w:rPr>
      </w:pPr>
      <w:r>
        <w:rPr>
          <w:rFonts w:ascii="Book Antiqua" w:hAnsi="Book Antiqua"/>
          <w:kern w:val="0"/>
          <w:sz w:val="23"/>
          <w:szCs w:val="23"/>
          <w:lang w:val="en-GB"/>
          <w14:ligatures w14:val="none"/>
        </w:rPr>
        <w:t>- and –</w:t>
      </w:r>
    </w:p>
    <w:p w14:paraId="7E8E28E5" w14:textId="77777777" w:rsidR="00C9262F" w:rsidRDefault="00C9262F" w:rsidP="00C9262F">
      <w:pPr>
        <w:spacing w:after="0" w:line="240" w:lineRule="auto"/>
        <w:jc w:val="center"/>
        <w:rPr>
          <w:rFonts w:ascii="Book Antiqua" w:hAnsi="Book Antiqua"/>
          <w:kern w:val="0"/>
          <w:sz w:val="23"/>
          <w:szCs w:val="23"/>
          <w:lang w:val="en-GB"/>
          <w14:ligatures w14:val="none"/>
        </w:rPr>
      </w:pPr>
    </w:p>
    <w:p w14:paraId="0668E186" w14:textId="77777777" w:rsidR="004247A4" w:rsidRDefault="00C9262F" w:rsidP="004247A4">
      <w:pPr>
        <w:spacing w:after="0" w:line="240" w:lineRule="auto"/>
        <w:jc w:val="center"/>
        <w:rPr>
          <w:rFonts w:ascii="Book Antiqua" w:hAnsi="Book Antiqua"/>
          <w:b/>
          <w:bCs/>
          <w:kern w:val="0"/>
          <w:sz w:val="23"/>
          <w:szCs w:val="23"/>
          <w:lang w:val="en-GB"/>
          <w14:ligatures w14:val="none"/>
        </w:rPr>
      </w:pPr>
      <w:r>
        <w:rPr>
          <w:rFonts w:ascii="Book Antiqua" w:hAnsi="Book Antiqua"/>
          <w:b/>
          <w:bCs/>
          <w:kern w:val="0"/>
          <w:sz w:val="23"/>
          <w:szCs w:val="23"/>
          <w:lang w:val="en-GB"/>
          <w14:ligatures w14:val="none"/>
        </w:rPr>
        <w:t>EUROPEAN LEGAL SUPPORT CENT</w:t>
      </w:r>
      <w:r w:rsidR="004247A4">
        <w:rPr>
          <w:rFonts w:ascii="Book Antiqua" w:hAnsi="Book Antiqua"/>
          <w:b/>
          <w:bCs/>
          <w:kern w:val="0"/>
          <w:sz w:val="23"/>
          <w:szCs w:val="23"/>
          <w:lang w:val="en-GB"/>
          <w14:ligatures w14:val="none"/>
        </w:rPr>
        <w:t>ER</w:t>
      </w:r>
    </w:p>
    <w:p w14:paraId="5950AB72" w14:textId="4367F683" w:rsidR="00C9262F" w:rsidRPr="00064732" w:rsidRDefault="00C9262F" w:rsidP="004247A4">
      <w:pPr>
        <w:spacing w:after="0" w:line="240" w:lineRule="auto"/>
        <w:jc w:val="right"/>
        <w:rPr>
          <w:rFonts w:ascii="Book Antiqua" w:hAnsi="Book Antiqua"/>
          <w:b/>
          <w:bCs/>
          <w:kern w:val="0"/>
          <w:sz w:val="23"/>
          <w:szCs w:val="23"/>
          <w:u w:val="single"/>
          <w:lang w:val="en-GB"/>
          <w14:ligatures w14:val="none"/>
        </w:rPr>
      </w:pPr>
      <w:r>
        <w:rPr>
          <w:rFonts w:ascii="Book Antiqua" w:hAnsi="Book Antiqua"/>
          <w:b/>
          <w:bCs/>
          <w:kern w:val="0"/>
          <w:sz w:val="23"/>
          <w:szCs w:val="23"/>
          <w:u w:val="single"/>
          <w:lang w:val="en-GB"/>
          <w14:ligatures w14:val="none"/>
        </w:rPr>
        <w:t>Intervener</w:t>
      </w:r>
    </w:p>
    <w:p w14:paraId="25B7450D" w14:textId="6FA4ED8E" w:rsidR="00064732" w:rsidRPr="00064732" w:rsidRDefault="00064732" w:rsidP="00064732">
      <w:pPr>
        <w:spacing w:after="220" w:line="240" w:lineRule="auto"/>
        <w:jc w:val="center"/>
        <w:rPr>
          <w:rFonts w:ascii="Book Antiqua" w:hAnsi="Book Antiqua" w:cs="Arial"/>
          <w:b/>
          <w:kern w:val="0"/>
          <w:sz w:val="23"/>
          <w:szCs w:val="23"/>
          <w:lang w:val="en-GB"/>
          <w14:ligatures w14:val="none"/>
        </w:rPr>
      </w:pPr>
      <w:r w:rsidRPr="00064732">
        <w:rPr>
          <w:rFonts w:ascii="Book Antiqua" w:hAnsi="Book Antiqua"/>
          <w:kern w:val="0"/>
          <w:sz w:val="23"/>
          <w:szCs w:val="23"/>
          <w:lang w:val="en-GB"/>
          <w14:ligatures w14:val="none"/>
        </w:rPr>
        <w:t xml:space="preserve"> </w:t>
      </w:r>
      <w:r w:rsidR="006574A4">
        <w:rPr>
          <w:rFonts w:ascii="Book Antiqua" w:hAnsi="Book Antiqua"/>
          <w:kern w:val="0"/>
          <w:sz w:val="23"/>
          <w:szCs w:val="23"/>
          <w:lang w:val="en-GB"/>
          <w14:ligatures w14:val="none"/>
        </w:rPr>
        <w:t>________________</w:t>
      </w:r>
      <w:r w:rsidRPr="00064732">
        <w:rPr>
          <w:rFonts w:ascii="Book Antiqua" w:hAnsi="Book Antiqua" w:cs="Arial"/>
          <w:b/>
          <w:kern w:val="0"/>
          <w:sz w:val="23"/>
          <w:szCs w:val="23"/>
          <w:lang w:val="en-GB"/>
          <w14:ligatures w14:val="none"/>
        </w:rPr>
        <w:t>__________________________________________</w:t>
      </w:r>
    </w:p>
    <w:p w14:paraId="1FF2DD7C" w14:textId="5502B8BA" w:rsidR="00161D21" w:rsidRDefault="00161D21" w:rsidP="006574A4">
      <w:pPr>
        <w:keepNext/>
        <w:spacing w:after="0" w:line="240" w:lineRule="auto"/>
        <w:jc w:val="center"/>
        <w:outlineLvl w:val="1"/>
        <w:rPr>
          <w:rFonts w:ascii="Book Antiqua" w:hAnsi="Book Antiqua" w:cs="Arial"/>
          <w:b/>
          <w:kern w:val="0"/>
          <w:sz w:val="23"/>
          <w:szCs w:val="23"/>
          <w:lang w:val="en-GB"/>
          <w14:ligatures w14:val="none"/>
        </w:rPr>
      </w:pPr>
      <w:r>
        <w:rPr>
          <w:rFonts w:ascii="Book Antiqua" w:hAnsi="Book Antiqua" w:cs="Arial"/>
          <w:b/>
          <w:kern w:val="0"/>
          <w:sz w:val="23"/>
          <w:szCs w:val="23"/>
          <w:lang w:val="en-GB"/>
          <w14:ligatures w14:val="none"/>
        </w:rPr>
        <w:t>SKELETON ARGUMENT</w:t>
      </w:r>
      <w:r w:rsidR="006574A4">
        <w:rPr>
          <w:rFonts w:ascii="Book Antiqua" w:hAnsi="Book Antiqua" w:cs="Arial"/>
          <w:b/>
          <w:kern w:val="0"/>
          <w:sz w:val="23"/>
          <w:szCs w:val="23"/>
          <w:lang w:val="en-GB"/>
          <w14:ligatures w14:val="none"/>
        </w:rPr>
        <w:t xml:space="preserve"> </w:t>
      </w:r>
      <w:r>
        <w:rPr>
          <w:rFonts w:ascii="Book Antiqua" w:hAnsi="Book Antiqua" w:cs="Arial"/>
          <w:b/>
          <w:kern w:val="0"/>
          <w:sz w:val="23"/>
          <w:szCs w:val="23"/>
          <w:lang w:val="en-GB"/>
          <w14:ligatures w14:val="none"/>
        </w:rPr>
        <w:t>ON BEHALF OF THE CLAIMANT</w:t>
      </w:r>
    </w:p>
    <w:p w14:paraId="1DBFA667" w14:textId="1F074226" w:rsidR="006574A4" w:rsidRPr="00064732" w:rsidRDefault="006574A4" w:rsidP="00064732">
      <w:pPr>
        <w:keepNext/>
        <w:spacing w:after="0" w:line="240" w:lineRule="auto"/>
        <w:jc w:val="center"/>
        <w:outlineLvl w:val="1"/>
        <w:rPr>
          <w:rFonts w:ascii="Book Antiqua" w:hAnsi="Book Antiqua" w:cs="Arial"/>
          <w:b/>
          <w:kern w:val="0"/>
          <w:sz w:val="23"/>
          <w:szCs w:val="23"/>
          <w:lang w:val="en-GB"/>
          <w14:ligatures w14:val="none"/>
        </w:rPr>
      </w:pPr>
      <w:r>
        <w:rPr>
          <w:rFonts w:ascii="Book Antiqua" w:hAnsi="Book Antiqua" w:cs="Arial"/>
          <w:b/>
          <w:kern w:val="0"/>
          <w:sz w:val="23"/>
          <w:szCs w:val="23"/>
          <w:lang w:val="en-GB"/>
          <w14:ligatures w14:val="none"/>
        </w:rPr>
        <w:t>FOR THE HEARING ON 19 MARCH 2025</w:t>
      </w:r>
    </w:p>
    <w:p w14:paraId="01EC70B0" w14:textId="51E62F3B" w:rsidR="00064732" w:rsidRPr="00064732" w:rsidRDefault="00E51054" w:rsidP="00E51054">
      <w:pPr>
        <w:spacing w:after="220" w:line="240" w:lineRule="auto"/>
        <w:ind w:firstLine="720"/>
        <w:rPr>
          <w:rFonts w:ascii="Book Antiqua" w:hAnsi="Book Antiqua" w:cs="Arial"/>
          <w:b/>
          <w:kern w:val="0"/>
          <w:sz w:val="23"/>
          <w:szCs w:val="23"/>
          <w:lang w:val="en-GB"/>
          <w14:ligatures w14:val="none"/>
        </w:rPr>
      </w:pPr>
      <w:r>
        <w:rPr>
          <w:rFonts w:ascii="Book Antiqua" w:hAnsi="Book Antiqua" w:cs="Arial"/>
          <w:b/>
          <w:kern w:val="0"/>
          <w:sz w:val="23"/>
          <w:szCs w:val="23"/>
          <w:lang w:val="en-GB"/>
          <w14:ligatures w14:val="none"/>
        </w:rPr>
        <w:t xml:space="preserve">           _</w:t>
      </w:r>
      <w:r w:rsidR="006574A4">
        <w:rPr>
          <w:rFonts w:ascii="Book Antiqua" w:hAnsi="Book Antiqua" w:cs="Arial"/>
          <w:b/>
          <w:kern w:val="0"/>
          <w:sz w:val="23"/>
          <w:szCs w:val="23"/>
          <w:lang w:val="en-GB"/>
          <w14:ligatures w14:val="none"/>
        </w:rPr>
        <w:t>__</w:t>
      </w:r>
      <w:r>
        <w:rPr>
          <w:rFonts w:ascii="Book Antiqua" w:hAnsi="Book Antiqua" w:cs="Arial"/>
          <w:b/>
          <w:kern w:val="0"/>
          <w:sz w:val="23"/>
          <w:szCs w:val="23"/>
          <w:lang w:val="en-GB"/>
          <w14:ligatures w14:val="none"/>
        </w:rPr>
        <w:t>______</w:t>
      </w:r>
      <w:r w:rsidR="00064732" w:rsidRPr="00064732">
        <w:rPr>
          <w:rFonts w:ascii="Book Antiqua" w:hAnsi="Book Antiqua" w:cs="Arial"/>
          <w:b/>
          <w:kern w:val="0"/>
          <w:sz w:val="23"/>
          <w:szCs w:val="23"/>
          <w:lang w:val="en-GB"/>
          <w14:ligatures w14:val="none"/>
        </w:rPr>
        <w:t>________</w:t>
      </w:r>
      <w:r w:rsidR="006574A4">
        <w:rPr>
          <w:rFonts w:ascii="Book Antiqua" w:hAnsi="Book Antiqua" w:cs="Arial"/>
          <w:b/>
          <w:kern w:val="0"/>
          <w:sz w:val="23"/>
          <w:szCs w:val="23"/>
          <w:lang w:val="en-GB"/>
          <w14:ligatures w14:val="none"/>
        </w:rPr>
        <w:t>________</w:t>
      </w:r>
      <w:r w:rsidR="00064732" w:rsidRPr="00064732">
        <w:rPr>
          <w:rFonts w:ascii="Book Antiqua" w:hAnsi="Book Antiqua" w:cs="Arial"/>
          <w:b/>
          <w:kern w:val="0"/>
          <w:sz w:val="23"/>
          <w:szCs w:val="23"/>
          <w:lang w:val="en-GB"/>
          <w14:ligatures w14:val="none"/>
        </w:rPr>
        <w:t>__________________________________</w:t>
      </w:r>
    </w:p>
    <w:p w14:paraId="22DB3FB4" w14:textId="2538752F" w:rsidR="0058210B" w:rsidRDefault="00AD25D8" w:rsidP="001917E6">
      <w:pPr>
        <w:spacing w:after="0" w:line="240" w:lineRule="auto"/>
        <w:rPr>
          <w:rFonts w:ascii="Book Antiqua" w:hAnsi="Book Antiqua"/>
          <w:smallCaps/>
          <w:kern w:val="0"/>
          <w:sz w:val="20"/>
          <w:szCs w:val="20"/>
          <w:lang w:val="en-GB"/>
          <w14:ligatures w14:val="none"/>
        </w:rPr>
      </w:pPr>
      <w:r w:rsidRPr="00AD25D8">
        <w:rPr>
          <w:rFonts w:ascii="Book Antiqua" w:hAnsi="Book Antiqua"/>
          <w:smallCaps/>
          <w:kern w:val="0"/>
          <w:sz w:val="20"/>
          <w:szCs w:val="20"/>
          <w:lang w:val="en-GB"/>
          <w14:ligatures w14:val="none"/>
        </w:rPr>
        <w:t>Essential reading</w:t>
      </w:r>
      <w:r w:rsidR="00B91742">
        <w:rPr>
          <w:rFonts w:ascii="Book Antiqua" w:hAnsi="Book Antiqua"/>
          <w:smallCaps/>
          <w:kern w:val="0"/>
          <w:sz w:val="20"/>
          <w:szCs w:val="20"/>
          <w:lang w:val="en-GB"/>
          <w14:ligatures w14:val="none"/>
        </w:rPr>
        <w:t xml:space="preserve"> (</w:t>
      </w:r>
      <w:r w:rsidR="00B202F4">
        <w:rPr>
          <w:rFonts w:ascii="Book Antiqua" w:hAnsi="Book Antiqua"/>
          <w:smallCaps/>
          <w:kern w:val="0"/>
          <w:sz w:val="20"/>
          <w:szCs w:val="20"/>
          <w:lang w:val="en-GB"/>
          <w14:ligatures w14:val="none"/>
        </w:rPr>
        <w:t>1.5</w:t>
      </w:r>
      <w:r w:rsidR="00D56E73">
        <w:rPr>
          <w:rFonts w:ascii="Book Antiqua" w:hAnsi="Book Antiqua"/>
          <w:smallCaps/>
          <w:kern w:val="0"/>
          <w:sz w:val="20"/>
          <w:szCs w:val="20"/>
          <w:lang w:val="en-GB"/>
          <w14:ligatures w14:val="none"/>
        </w:rPr>
        <w:t>hr</w:t>
      </w:r>
      <w:r w:rsidR="000856F2">
        <w:rPr>
          <w:rFonts w:ascii="Book Antiqua" w:hAnsi="Book Antiqua"/>
          <w:smallCaps/>
          <w:kern w:val="0"/>
          <w:sz w:val="20"/>
          <w:szCs w:val="20"/>
          <w:lang w:val="en-GB"/>
          <w14:ligatures w14:val="none"/>
        </w:rPr>
        <w:t>s</w:t>
      </w:r>
      <w:r w:rsidR="00B91742">
        <w:rPr>
          <w:rFonts w:ascii="Book Antiqua" w:hAnsi="Book Antiqua"/>
          <w:smallCaps/>
          <w:kern w:val="0"/>
          <w:sz w:val="20"/>
          <w:szCs w:val="20"/>
          <w:lang w:val="en-GB"/>
          <w14:ligatures w14:val="none"/>
        </w:rPr>
        <w:t>)</w:t>
      </w:r>
      <w:r w:rsidRPr="00AD25D8">
        <w:rPr>
          <w:rFonts w:ascii="Book Antiqua" w:hAnsi="Book Antiqua"/>
          <w:smallCaps/>
          <w:kern w:val="0"/>
          <w:sz w:val="20"/>
          <w:szCs w:val="20"/>
          <w:lang w:val="en-GB"/>
          <w14:ligatures w14:val="none"/>
        </w:rPr>
        <w:t xml:space="preserve">: </w:t>
      </w:r>
    </w:p>
    <w:p w14:paraId="59F912B7" w14:textId="1527F404" w:rsidR="00AD25D8" w:rsidRPr="00C77D9A" w:rsidRDefault="00AD25D8" w:rsidP="00AD25D8">
      <w:pPr>
        <w:pStyle w:val="ListParagraph"/>
        <w:numPr>
          <w:ilvl w:val="0"/>
          <w:numId w:val="4"/>
        </w:numPr>
        <w:spacing w:after="220" w:line="240" w:lineRule="auto"/>
        <w:rPr>
          <w:rFonts w:ascii="Book Antiqua" w:hAnsi="Book Antiqua"/>
          <w:smallCaps/>
          <w:kern w:val="0"/>
          <w:sz w:val="20"/>
          <w:szCs w:val="20"/>
          <w:lang w:val="en-GB"/>
          <w14:ligatures w14:val="none"/>
        </w:rPr>
      </w:pPr>
      <w:r>
        <w:rPr>
          <w:rFonts w:ascii="Book Antiqua" w:hAnsi="Book Antiqua"/>
          <w:smallCaps/>
          <w:kern w:val="0"/>
          <w:sz w:val="20"/>
          <w:szCs w:val="20"/>
          <w:lang w:val="en-GB"/>
          <w14:ligatures w14:val="none"/>
        </w:rPr>
        <w:t xml:space="preserve">Particulars of </w:t>
      </w:r>
      <w:r w:rsidRPr="00C77D9A">
        <w:rPr>
          <w:rFonts w:ascii="Book Antiqua" w:hAnsi="Book Antiqua"/>
          <w:smallCaps/>
          <w:kern w:val="0"/>
          <w:sz w:val="20"/>
          <w:szCs w:val="20"/>
          <w:lang w:val="en-GB"/>
          <w14:ligatures w14:val="none"/>
        </w:rPr>
        <w:t>Claim</w:t>
      </w:r>
      <w:r w:rsidR="0085066D" w:rsidRPr="00C77D9A">
        <w:rPr>
          <w:rFonts w:ascii="Book Antiqua" w:hAnsi="Book Antiqua"/>
          <w:smallCaps/>
          <w:kern w:val="0"/>
          <w:sz w:val="20"/>
          <w:szCs w:val="20"/>
          <w:lang w:val="en-GB"/>
          <w14:ligatures w14:val="none"/>
        </w:rPr>
        <w:t xml:space="preserve"> </w:t>
      </w:r>
      <w:r w:rsidR="0085066D" w:rsidRPr="00C77D9A">
        <w:rPr>
          <w:rFonts w:ascii="Book Antiqua" w:hAnsi="Book Antiqua"/>
          <w:b/>
          <w:bCs/>
          <w:sz w:val="20"/>
          <w:szCs w:val="20"/>
        </w:rPr>
        <w:t>[</w:t>
      </w:r>
      <w:r w:rsidR="00211D7C">
        <w:rPr>
          <w:rFonts w:ascii="Book Antiqua" w:hAnsi="Book Antiqua"/>
          <w:b/>
          <w:bCs/>
          <w:sz w:val="20"/>
          <w:szCs w:val="20"/>
        </w:rPr>
        <w:t>HB</w:t>
      </w:r>
      <w:r w:rsidR="0085066D" w:rsidRPr="00C77D9A">
        <w:rPr>
          <w:rFonts w:ascii="Book Antiqua" w:hAnsi="Book Antiqua"/>
          <w:b/>
          <w:bCs/>
          <w:sz w:val="20"/>
          <w:szCs w:val="20"/>
        </w:rPr>
        <w:t>/</w:t>
      </w:r>
      <w:r w:rsidR="00040C7A">
        <w:rPr>
          <w:rFonts w:ascii="Book Antiqua" w:hAnsi="Book Antiqua"/>
          <w:b/>
          <w:bCs/>
          <w:sz w:val="20"/>
          <w:szCs w:val="20"/>
        </w:rPr>
        <w:t>2/</w:t>
      </w:r>
      <w:r w:rsidR="000B59EA" w:rsidRPr="00C77D9A">
        <w:rPr>
          <w:rFonts w:ascii="Book Antiqua" w:hAnsi="Book Antiqua"/>
          <w:b/>
          <w:bCs/>
          <w:sz w:val="20"/>
          <w:szCs w:val="20"/>
        </w:rPr>
        <w:t>9</w:t>
      </w:r>
      <w:r w:rsidR="00956C70">
        <w:rPr>
          <w:rFonts w:ascii="Book Antiqua" w:hAnsi="Book Antiqua"/>
          <w:b/>
          <w:bCs/>
          <w:sz w:val="20"/>
          <w:szCs w:val="20"/>
        </w:rPr>
        <w:t>(PDF11)]</w:t>
      </w:r>
    </w:p>
    <w:p w14:paraId="32FD7228" w14:textId="38C8EAF0" w:rsidR="00AD25D8" w:rsidRPr="00D61C20" w:rsidRDefault="00D809A9" w:rsidP="00AD25D8">
      <w:pPr>
        <w:pStyle w:val="ListParagraph"/>
        <w:numPr>
          <w:ilvl w:val="0"/>
          <w:numId w:val="4"/>
        </w:numPr>
        <w:spacing w:after="220" w:line="240" w:lineRule="auto"/>
        <w:rPr>
          <w:rFonts w:ascii="Book Antiqua" w:hAnsi="Book Antiqua"/>
          <w:smallCaps/>
          <w:kern w:val="0"/>
          <w:sz w:val="20"/>
          <w:szCs w:val="20"/>
          <w:lang w:val="en-GB"/>
          <w14:ligatures w14:val="none"/>
        </w:rPr>
      </w:pPr>
      <w:r w:rsidRPr="00C77D9A">
        <w:rPr>
          <w:rFonts w:ascii="Book Antiqua" w:hAnsi="Book Antiqua"/>
          <w:smallCaps/>
          <w:kern w:val="0"/>
          <w:sz w:val="20"/>
          <w:szCs w:val="20"/>
          <w:lang w:val="en-GB"/>
          <w14:ligatures w14:val="none"/>
        </w:rPr>
        <w:t xml:space="preserve">First </w:t>
      </w:r>
      <w:r w:rsidR="00E51054">
        <w:rPr>
          <w:rFonts w:ascii="Book Antiqua" w:hAnsi="Book Antiqua"/>
          <w:smallCaps/>
          <w:kern w:val="0"/>
          <w:sz w:val="20"/>
          <w:szCs w:val="20"/>
          <w:lang w:val="en-GB"/>
          <w14:ligatures w14:val="none"/>
        </w:rPr>
        <w:t>w</w:t>
      </w:r>
      <w:r w:rsidR="00AD25D8" w:rsidRPr="00C77D9A">
        <w:rPr>
          <w:rFonts w:ascii="Book Antiqua" w:hAnsi="Book Antiqua"/>
          <w:smallCaps/>
          <w:kern w:val="0"/>
          <w:sz w:val="20"/>
          <w:szCs w:val="20"/>
          <w:lang w:val="en-GB"/>
          <w14:ligatures w14:val="none"/>
        </w:rPr>
        <w:t xml:space="preserve">itness </w:t>
      </w:r>
      <w:r w:rsidR="00E51054">
        <w:rPr>
          <w:rFonts w:ascii="Book Antiqua" w:hAnsi="Book Antiqua"/>
          <w:smallCaps/>
          <w:kern w:val="0"/>
          <w:sz w:val="20"/>
          <w:szCs w:val="20"/>
          <w:lang w:val="en-GB"/>
          <w14:ligatures w14:val="none"/>
        </w:rPr>
        <w:t>s</w:t>
      </w:r>
      <w:r w:rsidR="00AD25D8" w:rsidRPr="00C77D9A">
        <w:rPr>
          <w:rFonts w:ascii="Book Antiqua" w:hAnsi="Book Antiqua"/>
          <w:smallCaps/>
          <w:kern w:val="0"/>
          <w:sz w:val="20"/>
          <w:szCs w:val="20"/>
          <w:lang w:val="en-GB"/>
          <w14:ligatures w14:val="none"/>
        </w:rPr>
        <w:t xml:space="preserve">tatement of Emma rampton, dated </w:t>
      </w:r>
      <w:r w:rsidR="00FA3AA7" w:rsidRPr="00C77D9A">
        <w:rPr>
          <w:rFonts w:ascii="Book Antiqua" w:hAnsi="Book Antiqua"/>
          <w:smallCaps/>
          <w:kern w:val="0"/>
          <w:sz w:val="20"/>
          <w:szCs w:val="20"/>
          <w:lang w:val="en-GB"/>
          <w14:ligatures w14:val="none"/>
        </w:rPr>
        <w:t>14</w:t>
      </w:r>
      <w:r w:rsidR="00DA016E" w:rsidRPr="00C77D9A">
        <w:rPr>
          <w:rFonts w:ascii="Book Antiqua" w:hAnsi="Book Antiqua"/>
          <w:smallCaps/>
          <w:kern w:val="0"/>
          <w:sz w:val="20"/>
          <w:szCs w:val="20"/>
          <w:lang w:val="en-GB"/>
          <w14:ligatures w14:val="none"/>
        </w:rPr>
        <w:t xml:space="preserve"> February 2025</w:t>
      </w:r>
      <w:r w:rsidR="000B59EA" w:rsidRPr="00C77D9A">
        <w:rPr>
          <w:rFonts w:ascii="Book Antiqua" w:hAnsi="Book Antiqua"/>
          <w:smallCaps/>
          <w:kern w:val="0"/>
          <w:sz w:val="20"/>
          <w:szCs w:val="20"/>
          <w:lang w:val="en-GB"/>
          <w14:ligatures w14:val="none"/>
        </w:rPr>
        <w:t xml:space="preserve"> </w:t>
      </w:r>
      <w:r w:rsidR="000B59EA" w:rsidRPr="00C77D9A">
        <w:rPr>
          <w:rFonts w:ascii="Book Antiqua" w:hAnsi="Book Antiqua"/>
          <w:b/>
          <w:bCs/>
          <w:sz w:val="20"/>
          <w:szCs w:val="20"/>
        </w:rPr>
        <w:t>[</w:t>
      </w:r>
      <w:r w:rsidR="00211D7C">
        <w:rPr>
          <w:rFonts w:ascii="Book Antiqua" w:hAnsi="Book Antiqua"/>
          <w:b/>
          <w:bCs/>
          <w:sz w:val="20"/>
          <w:szCs w:val="20"/>
        </w:rPr>
        <w:t>HB</w:t>
      </w:r>
      <w:r w:rsidR="000B59EA" w:rsidRPr="00C77D9A">
        <w:rPr>
          <w:rFonts w:ascii="Book Antiqua" w:hAnsi="Book Antiqua"/>
          <w:b/>
          <w:bCs/>
          <w:sz w:val="20"/>
          <w:szCs w:val="20"/>
        </w:rPr>
        <w:t>/</w:t>
      </w:r>
      <w:r w:rsidR="00040C7A">
        <w:rPr>
          <w:rFonts w:ascii="Book Antiqua" w:hAnsi="Book Antiqua"/>
          <w:b/>
          <w:bCs/>
          <w:sz w:val="20"/>
          <w:szCs w:val="20"/>
        </w:rPr>
        <w:t>6/</w:t>
      </w:r>
      <w:r w:rsidR="00C77D9A" w:rsidRPr="00C77D9A">
        <w:rPr>
          <w:rFonts w:ascii="Book Antiqua" w:hAnsi="Book Antiqua"/>
          <w:b/>
          <w:bCs/>
          <w:sz w:val="20"/>
          <w:szCs w:val="20"/>
        </w:rPr>
        <w:t>41</w:t>
      </w:r>
      <w:r w:rsidR="00956C70">
        <w:rPr>
          <w:rFonts w:ascii="Book Antiqua" w:hAnsi="Book Antiqua"/>
          <w:b/>
          <w:bCs/>
          <w:sz w:val="20"/>
          <w:szCs w:val="20"/>
        </w:rPr>
        <w:t>(PDF43)</w:t>
      </w:r>
      <w:r w:rsidR="000B59EA" w:rsidRPr="00C77D9A">
        <w:rPr>
          <w:rFonts w:ascii="Book Antiqua" w:hAnsi="Book Antiqua"/>
          <w:b/>
          <w:bCs/>
          <w:sz w:val="20"/>
          <w:szCs w:val="20"/>
        </w:rPr>
        <w:t>]</w:t>
      </w:r>
      <w:r w:rsidR="00C325A9">
        <w:rPr>
          <w:rFonts w:ascii="Book Antiqua" w:hAnsi="Book Antiqua"/>
          <w:b/>
          <w:bCs/>
          <w:sz w:val="20"/>
          <w:szCs w:val="20"/>
        </w:rPr>
        <w:t xml:space="preserve"> </w:t>
      </w:r>
      <w:r w:rsidR="00C325A9" w:rsidRPr="009C2C16">
        <w:rPr>
          <w:rFonts w:ascii="Book Antiqua" w:hAnsi="Book Antiqua"/>
          <w:b/>
          <w:bCs/>
          <w:sz w:val="20"/>
          <w:szCs w:val="20"/>
        </w:rPr>
        <w:t>(“</w:t>
      </w:r>
      <w:r w:rsidR="00C325A9" w:rsidRPr="009C2C16">
        <w:rPr>
          <w:rFonts w:ascii="Book Antiqua" w:hAnsi="Book Antiqua"/>
          <w:b/>
          <w:bCs/>
          <w:smallCaps/>
          <w:sz w:val="20"/>
          <w:szCs w:val="20"/>
        </w:rPr>
        <w:t>Rampton 1</w:t>
      </w:r>
      <w:r w:rsidR="00C325A9" w:rsidRPr="009C2C16">
        <w:rPr>
          <w:rFonts w:ascii="Book Antiqua" w:hAnsi="Book Antiqua"/>
          <w:b/>
          <w:bCs/>
          <w:sz w:val="20"/>
          <w:szCs w:val="20"/>
        </w:rPr>
        <w:t>”)</w:t>
      </w:r>
    </w:p>
    <w:p w14:paraId="4CE1D315" w14:textId="3A7CCEC9" w:rsidR="00E51054" w:rsidRPr="00D93404" w:rsidRDefault="00E51054" w:rsidP="00AD25D8">
      <w:pPr>
        <w:pStyle w:val="ListParagraph"/>
        <w:numPr>
          <w:ilvl w:val="0"/>
          <w:numId w:val="4"/>
        </w:numPr>
        <w:spacing w:after="220" w:line="240" w:lineRule="auto"/>
        <w:rPr>
          <w:rFonts w:ascii="Book Antiqua" w:hAnsi="Book Antiqua"/>
          <w:smallCaps/>
          <w:kern w:val="0"/>
          <w:sz w:val="20"/>
          <w:szCs w:val="20"/>
          <w:lang w:val="en-GB"/>
          <w14:ligatures w14:val="none"/>
        </w:rPr>
      </w:pPr>
      <w:r>
        <w:rPr>
          <w:rFonts w:ascii="Book Antiqua" w:hAnsi="Book Antiqua"/>
          <w:smallCaps/>
          <w:kern w:val="0"/>
          <w:sz w:val="20"/>
          <w:szCs w:val="20"/>
          <w:lang w:val="en-GB"/>
          <w14:ligatures w14:val="none"/>
        </w:rPr>
        <w:t>Second</w:t>
      </w:r>
      <w:r w:rsidRPr="00C77D9A">
        <w:rPr>
          <w:rFonts w:ascii="Book Antiqua" w:hAnsi="Book Antiqua"/>
          <w:smallCaps/>
          <w:kern w:val="0"/>
          <w:sz w:val="20"/>
          <w:szCs w:val="20"/>
          <w:lang w:val="en-GB"/>
          <w14:ligatures w14:val="none"/>
        </w:rPr>
        <w:t xml:space="preserve"> </w:t>
      </w:r>
      <w:r>
        <w:rPr>
          <w:rFonts w:ascii="Book Antiqua" w:hAnsi="Book Antiqua"/>
          <w:smallCaps/>
          <w:kern w:val="0"/>
          <w:sz w:val="20"/>
          <w:szCs w:val="20"/>
          <w:lang w:val="en-GB"/>
          <w14:ligatures w14:val="none"/>
        </w:rPr>
        <w:t>w</w:t>
      </w:r>
      <w:r w:rsidRPr="00C77D9A">
        <w:rPr>
          <w:rFonts w:ascii="Book Antiqua" w:hAnsi="Book Antiqua"/>
          <w:smallCaps/>
          <w:kern w:val="0"/>
          <w:sz w:val="20"/>
          <w:szCs w:val="20"/>
          <w:lang w:val="en-GB"/>
          <w14:ligatures w14:val="none"/>
        </w:rPr>
        <w:t xml:space="preserve">itness </w:t>
      </w:r>
      <w:r>
        <w:rPr>
          <w:rFonts w:ascii="Book Antiqua" w:hAnsi="Book Antiqua"/>
          <w:smallCaps/>
          <w:kern w:val="0"/>
          <w:sz w:val="20"/>
          <w:szCs w:val="20"/>
          <w:lang w:val="en-GB"/>
          <w14:ligatures w14:val="none"/>
        </w:rPr>
        <w:t>s</w:t>
      </w:r>
      <w:r w:rsidRPr="00C77D9A">
        <w:rPr>
          <w:rFonts w:ascii="Book Antiqua" w:hAnsi="Book Antiqua"/>
          <w:smallCaps/>
          <w:kern w:val="0"/>
          <w:sz w:val="20"/>
          <w:szCs w:val="20"/>
          <w:lang w:val="en-GB"/>
          <w14:ligatures w14:val="none"/>
        </w:rPr>
        <w:t xml:space="preserve">tatement of Emma rampton, dated </w:t>
      </w:r>
      <w:r w:rsidR="001620C7">
        <w:rPr>
          <w:rFonts w:ascii="Book Antiqua" w:hAnsi="Book Antiqua"/>
          <w:smallCaps/>
          <w:kern w:val="0"/>
          <w:sz w:val="20"/>
          <w:szCs w:val="20"/>
          <w:lang w:val="en-GB"/>
          <w14:ligatures w14:val="none"/>
        </w:rPr>
        <w:t>26</w:t>
      </w:r>
      <w:r w:rsidRPr="00C77D9A">
        <w:rPr>
          <w:rFonts w:ascii="Book Antiqua" w:hAnsi="Book Antiqua"/>
          <w:smallCaps/>
          <w:kern w:val="0"/>
          <w:sz w:val="20"/>
          <w:szCs w:val="20"/>
          <w:lang w:val="en-GB"/>
          <w14:ligatures w14:val="none"/>
        </w:rPr>
        <w:t xml:space="preserve"> February 2025</w:t>
      </w:r>
      <w:r w:rsidR="0090240B">
        <w:rPr>
          <w:rFonts w:ascii="Book Antiqua" w:hAnsi="Book Antiqua"/>
          <w:smallCaps/>
          <w:kern w:val="0"/>
          <w:sz w:val="20"/>
          <w:szCs w:val="20"/>
          <w:lang w:val="en-GB"/>
          <w14:ligatures w14:val="none"/>
        </w:rPr>
        <w:t xml:space="preserve"> </w:t>
      </w:r>
      <w:r w:rsidR="0090240B" w:rsidRPr="0090240B">
        <w:rPr>
          <w:rFonts w:ascii="Book Antiqua" w:hAnsi="Book Antiqua"/>
          <w:b/>
          <w:bCs/>
          <w:smallCaps/>
          <w:kern w:val="0"/>
          <w:sz w:val="20"/>
          <w:szCs w:val="20"/>
          <w:lang w:val="en-GB"/>
          <w14:ligatures w14:val="none"/>
        </w:rPr>
        <w:t>[</w:t>
      </w:r>
      <w:r w:rsidR="008C40F8">
        <w:rPr>
          <w:rFonts w:ascii="Book Antiqua" w:hAnsi="Book Antiqua"/>
          <w:b/>
          <w:bCs/>
          <w:smallCaps/>
          <w:kern w:val="0"/>
          <w:sz w:val="20"/>
          <w:szCs w:val="20"/>
          <w:lang w:val="en-GB"/>
          <w14:ligatures w14:val="none"/>
        </w:rPr>
        <w:t>SB/6/707</w:t>
      </w:r>
      <w:r w:rsidR="00E37CB3">
        <w:rPr>
          <w:rFonts w:ascii="Book Antiqua" w:hAnsi="Book Antiqua"/>
          <w:b/>
          <w:bCs/>
          <w:smallCaps/>
          <w:kern w:val="0"/>
          <w:sz w:val="20"/>
          <w:szCs w:val="20"/>
          <w:lang w:val="en-GB"/>
          <w14:ligatures w14:val="none"/>
        </w:rPr>
        <w:t>(</w:t>
      </w:r>
      <w:r w:rsidR="00040C7A">
        <w:rPr>
          <w:rFonts w:ascii="Book Antiqua" w:hAnsi="Book Antiqua"/>
          <w:b/>
          <w:bCs/>
          <w:smallCaps/>
          <w:kern w:val="0"/>
          <w:sz w:val="20"/>
          <w:szCs w:val="20"/>
          <w:lang w:val="en-GB"/>
          <w14:ligatures w14:val="none"/>
        </w:rPr>
        <w:t>PDF69</w:t>
      </w:r>
      <w:r w:rsidR="00E37CB3">
        <w:rPr>
          <w:rFonts w:ascii="Book Antiqua" w:hAnsi="Book Antiqua"/>
          <w:b/>
          <w:bCs/>
          <w:smallCaps/>
          <w:kern w:val="0"/>
          <w:sz w:val="20"/>
          <w:szCs w:val="20"/>
          <w:lang w:val="en-GB"/>
          <w14:ligatures w14:val="none"/>
        </w:rPr>
        <w:t>)</w:t>
      </w:r>
      <w:r w:rsidR="00040C7A">
        <w:rPr>
          <w:rFonts w:ascii="Book Antiqua" w:hAnsi="Book Antiqua"/>
          <w:b/>
          <w:bCs/>
          <w:smallCaps/>
          <w:kern w:val="0"/>
          <w:sz w:val="20"/>
          <w:szCs w:val="20"/>
          <w:lang w:val="en-GB"/>
          <w14:ligatures w14:val="none"/>
        </w:rPr>
        <w:t>]</w:t>
      </w:r>
      <w:r w:rsidR="00C325A9">
        <w:rPr>
          <w:rFonts w:ascii="Book Antiqua" w:hAnsi="Book Antiqua"/>
          <w:b/>
          <w:bCs/>
          <w:smallCaps/>
          <w:kern w:val="0"/>
          <w:sz w:val="20"/>
          <w:szCs w:val="20"/>
          <w:lang w:val="en-GB"/>
          <w14:ligatures w14:val="none"/>
        </w:rPr>
        <w:t xml:space="preserve"> (“Rampton 2)</w:t>
      </w:r>
    </w:p>
    <w:p w14:paraId="0A6B539B" w14:textId="1C51A3BC" w:rsidR="00D93404" w:rsidRDefault="00D93404" w:rsidP="00AD25D8">
      <w:pPr>
        <w:pStyle w:val="ListParagraph"/>
        <w:numPr>
          <w:ilvl w:val="0"/>
          <w:numId w:val="4"/>
        </w:numPr>
        <w:spacing w:after="220" w:line="240" w:lineRule="auto"/>
        <w:rPr>
          <w:rFonts w:ascii="Book Antiqua" w:hAnsi="Book Antiqua"/>
          <w:smallCaps/>
          <w:kern w:val="0"/>
          <w:sz w:val="20"/>
          <w:szCs w:val="20"/>
          <w:lang w:val="en-GB"/>
          <w14:ligatures w14:val="none"/>
        </w:rPr>
      </w:pPr>
      <w:r>
        <w:rPr>
          <w:rFonts w:ascii="Book Antiqua" w:hAnsi="Book Antiqua"/>
          <w:smallCaps/>
          <w:kern w:val="0"/>
          <w:sz w:val="20"/>
          <w:szCs w:val="20"/>
          <w:lang w:val="en-GB"/>
          <w14:ligatures w14:val="none"/>
        </w:rPr>
        <w:t>Judgment of Fordham</w:t>
      </w:r>
      <w:r w:rsidR="009A3723">
        <w:rPr>
          <w:rFonts w:ascii="Book Antiqua" w:hAnsi="Book Antiqua"/>
          <w:smallCaps/>
          <w:kern w:val="0"/>
          <w:sz w:val="20"/>
          <w:szCs w:val="20"/>
          <w:lang w:val="en-GB"/>
          <w14:ligatures w14:val="none"/>
        </w:rPr>
        <w:t xml:space="preserve"> J</w:t>
      </w:r>
      <w:r>
        <w:rPr>
          <w:rFonts w:ascii="Book Antiqua" w:hAnsi="Book Antiqua"/>
          <w:smallCaps/>
          <w:kern w:val="0"/>
          <w:sz w:val="20"/>
          <w:szCs w:val="20"/>
          <w:lang w:val="en-GB"/>
          <w14:ligatures w14:val="none"/>
        </w:rPr>
        <w:t xml:space="preserve"> [2025] EWHC </w:t>
      </w:r>
      <w:r w:rsidR="006C5663">
        <w:rPr>
          <w:rFonts w:ascii="Book Antiqua" w:hAnsi="Book Antiqua"/>
          <w:smallCaps/>
          <w:kern w:val="0"/>
          <w:sz w:val="20"/>
          <w:szCs w:val="20"/>
          <w:lang w:val="en-GB"/>
          <w14:ligatures w14:val="none"/>
        </w:rPr>
        <w:t>454</w:t>
      </w:r>
      <w:r w:rsidR="009A3723">
        <w:rPr>
          <w:rFonts w:ascii="Book Antiqua" w:hAnsi="Book Antiqua"/>
          <w:smallCaps/>
          <w:kern w:val="0"/>
          <w:sz w:val="20"/>
          <w:szCs w:val="20"/>
          <w:lang w:val="en-GB"/>
          <w14:ligatures w14:val="none"/>
        </w:rPr>
        <w:t xml:space="preserve"> (</w:t>
      </w:r>
      <w:r>
        <w:rPr>
          <w:rFonts w:ascii="Book Antiqua" w:hAnsi="Book Antiqua"/>
          <w:smallCaps/>
          <w:kern w:val="0"/>
          <w:sz w:val="20"/>
          <w:szCs w:val="20"/>
          <w:lang w:val="en-GB"/>
          <w14:ligatures w14:val="none"/>
        </w:rPr>
        <w:t>27 February 2025</w:t>
      </w:r>
      <w:r w:rsidR="009A3723">
        <w:rPr>
          <w:rFonts w:ascii="Book Antiqua" w:hAnsi="Book Antiqua"/>
          <w:smallCaps/>
          <w:kern w:val="0"/>
          <w:sz w:val="20"/>
          <w:szCs w:val="20"/>
          <w:lang w:val="en-GB"/>
          <w14:ligatures w14:val="none"/>
        </w:rPr>
        <w:t>)</w:t>
      </w:r>
      <w:r>
        <w:rPr>
          <w:rFonts w:ascii="Book Antiqua" w:hAnsi="Book Antiqua"/>
          <w:smallCaps/>
          <w:kern w:val="0"/>
          <w:sz w:val="20"/>
          <w:szCs w:val="20"/>
          <w:lang w:val="en-GB"/>
          <w14:ligatures w14:val="none"/>
        </w:rPr>
        <w:t xml:space="preserve"> </w:t>
      </w:r>
      <w:r>
        <w:rPr>
          <w:rFonts w:ascii="Book Antiqua" w:hAnsi="Book Antiqua"/>
          <w:b/>
          <w:bCs/>
          <w:smallCaps/>
          <w:kern w:val="0"/>
          <w:sz w:val="20"/>
          <w:szCs w:val="20"/>
          <w:lang w:val="en-GB"/>
          <w14:ligatures w14:val="none"/>
        </w:rPr>
        <w:t>[</w:t>
      </w:r>
      <w:r w:rsidR="00A54944">
        <w:rPr>
          <w:rFonts w:ascii="Book Antiqua" w:hAnsi="Book Antiqua"/>
          <w:b/>
          <w:bCs/>
          <w:smallCaps/>
          <w:kern w:val="0"/>
          <w:sz w:val="20"/>
          <w:szCs w:val="20"/>
          <w:lang w:val="en-GB"/>
          <w14:ligatures w14:val="none"/>
        </w:rPr>
        <w:t>SB/10/912</w:t>
      </w:r>
      <w:r w:rsidR="00062BA8">
        <w:rPr>
          <w:rFonts w:ascii="Book Antiqua" w:hAnsi="Book Antiqua"/>
          <w:b/>
          <w:bCs/>
          <w:smallCaps/>
          <w:kern w:val="0"/>
          <w:sz w:val="20"/>
          <w:szCs w:val="20"/>
          <w:lang w:val="en-GB"/>
          <w14:ligatures w14:val="none"/>
        </w:rPr>
        <w:t>(</w:t>
      </w:r>
      <w:r w:rsidR="00062BA8">
        <w:rPr>
          <w:rFonts w:ascii="Book Antiqua" w:hAnsi="Book Antiqua"/>
          <w:b/>
          <w:bCs/>
          <w:sz w:val="20"/>
          <w:szCs w:val="20"/>
        </w:rPr>
        <w:t>PDF</w:t>
      </w:r>
      <w:r w:rsidR="00040C7A">
        <w:rPr>
          <w:rFonts w:ascii="Book Antiqua" w:hAnsi="Book Antiqua"/>
          <w:b/>
          <w:bCs/>
          <w:smallCaps/>
          <w:kern w:val="0"/>
          <w:sz w:val="20"/>
          <w:szCs w:val="20"/>
          <w:lang w:val="en-GB"/>
          <w14:ligatures w14:val="none"/>
        </w:rPr>
        <w:t>274</w:t>
      </w:r>
      <w:r w:rsidR="00062BA8">
        <w:rPr>
          <w:rFonts w:ascii="Book Antiqua" w:hAnsi="Book Antiqua"/>
          <w:b/>
          <w:bCs/>
          <w:smallCaps/>
          <w:kern w:val="0"/>
          <w:sz w:val="20"/>
          <w:szCs w:val="20"/>
          <w:lang w:val="en-GB"/>
          <w14:ligatures w14:val="none"/>
        </w:rPr>
        <w:t>)</w:t>
      </w:r>
      <w:r w:rsidR="00040C7A">
        <w:rPr>
          <w:rFonts w:ascii="Book Antiqua" w:hAnsi="Book Antiqua"/>
          <w:b/>
          <w:bCs/>
          <w:smallCaps/>
          <w:kern w:val="0"/>
          <w:sz w:val="20"/>
          <w:szCs w:val="20"/>
          <w:lang w:val="en-GB"/>
          <w14:ligatures w14:val="none"/>
        </w:rPr>
        <w:t>]</w:t>
      </w:r>
      <w:r w:rsidR="009A3723">
        <w:rPr>
          <w:rFonts w:ascii="Book Antiqua" w:hAnsi="Book Antiqua"/>
          <w:b/>
          <w:bCs/>
          <w:smallCaps/>
          <w:kern w:val="0"/>
          <w:sz w:val="20"/>
          <w:szCs w:val="20"/>
          <w:lang w:val="en-GB"/>
          <w14:ligatures w14:val="none"/>
        </w:rPr>
        <w:t xml:space="preserve"> (“</w:t>
      </w:r>
      <w:r w:rsidR="00A52A09" w:rsidRPr="003650CF">
        <w:rPr>
          <w:rFonts w:ascii="Book Antiqua" w:hAnsi="Book Antiqua"/>
          <w:b/>
          <w:bCs/>
          <w:smallCaps/>
          <w:kern w:val="0"/>
          <w:sz w:val="20"/>
          <w:szCs w:val="20"/>
          <w:lang w:val="en-GB"/>
          <w14:ligatures w14:val="none"/>
        </w:rPr>
        <w:t xml:space="preserve">Fordham </w:t>
      </w:r>
      <w:r w:rsidR="009A3723" w:rsidRPr="003650CF">
        <w:rPr>
          <w:rFonts w:ascii="Book Antiqua" w:hAnsi="Book Antiqua"/>
          <w:b/>
          <w:bCs/>
          <w:smallCaps/>
          <w:kern w:val="0"/>
          <w:sz w:val="20"/>
          <w:szCs w:val="20"/>
          <w:lang w:val="en-GB"/>
          <w14:ligatures w14:val="none"/>
        </w:rPr>
        <w:t>Judgment</w:t>
      </w:r>
      <w:r w:rsidR="009A3723">
        <w:rPr>
          <w:rFonts w:ascii="Book Antiqua" w:hAnsi="Book Antiqua"/>
          <w:b/>
          <w:bCs/>
          <w:smallCaps/>
          <w:kern w:val="0"/>
          <w:sz w:val="20"/>
          <w:szCs w:val="20"/>
          <w:lang w:val="en-GB"/>
          <w14:ligatures w14:val="none"/>
        </w:rPr>
        <w:t>”)</w:t>
      </w:r>
      <w:r w:rsidR="00C325A9">
        <w:rPr>
          <w:rFonts w:ascii="Book Antiqua" w:hAnsi="Book Antiqua"/>
          <w:b/>
          <w:bCs/>
          <w:smallCaps/>
          <w:kern w:val="0"/>
          <w:sz w:val="20"/>
          <w:szCs w:val="20"/>
          <w:lang w:val="en-GB"/>
          <w14:ligatures w14:val="none"/>
        </w:rPr>
        <w:t xml:space="preserve"> </w:t>
      </w:r>
    </w:p>
    <w:p w14:paraId="50E43D7E" w14:textId="2B001F69" w:rsidR="00E51054" w:rsidRPr="00917BC5" w:rsidRDefault="0090240B" w:rsidP="00AD25D8">
      <w:pPr>
        <w:pStyle w:val="ListParagraph"/>
        <w:numPr>
          <w:ilvl w:val="0"/>
          <w:numId w:val="4"/>
        </w:numPr>
        <w:spacing w:after="220" w:line="240" w:lineRule="auto"/>
        <w:rPr>
          <w:rFonts w:ascii="Book Antiqua" w:hAnsi="Book Antiqua"/>
          <w:smallCaps/>
          <w:kern w:val="0"/>
          <w:sz w:val="20"/>
          <w:szCs w:val="20"/>
          <w:lang w:val="en-GB"/>
          <w14:ligatures w14:val="none"/>
        </w:rPr>
      </w:pPr>
      <w:r>
        <w:rPr>
          <w:rFonts w:ascii="Book Antiqua" w:hAnsi="Book Antiqua"/>
          <w:smallCaps/>
          <w:kern w:val="0"/>
          <w:sz w:val="20"/>
          <w:szCs w:val="20"/>
          <w:lang w:val="en-GB"/>
          <w14:ligatures w14:val="none"/>
        </w:rPr>
        <w:t>Third</w:t>
      </w:r>
      <w:r w:rsidR="00E51054" w:rsidRPr="00C77D9A">
        <w:rPr>
          <w:rFonts w:ascii="Book Antiqua" w:hAnsi="Book Antiqua"/>
          <w:smallCaps/>
          <w:kern w:val="0"/>
          <w:sz w:val="20"/>
          <w:szCs w:val="20"/>
          <w:lang w:val="en-GB"/>
          <w14:ligatures w14:val="none"/>
        </w:rPr>
        <w:t xml:space="preserve"> </w:t>
      </w:r>
      <w:r w:rsidR="00E51054">
        <w:rPr>
          <w:rFonts w:ascii="Book Antiqua" w:hAnsi="Book Antiqua"/>
          <w:smallCaps/>
          <w:kern w:val="0"/>
          <w:sz w:val="20"/>
          <w:szCs w:val="20"/>
          <w:lang w:val="en-GB"/>
          <w14:ligatures w14:val="none"/>
        </w:rPr>
        <w:t>w</w:t>
      </w:r>
      <w:r w:rsidR="00E51054" w:rsidRPr="00C77D9A">
        <w:rPr>
          <w:rFonts w:ascii="Book Antiqua" w:hAnsi="Book Antiqua"/>
          <w:smallCaps/>
          <w:kern w:val="0"/>
          <w:sz w:val="20"/>
          <w:szCs w:val="20"/>
          <w:lang w:val="en-GB"/>
          <w14:ligatures w14:val="none"/>
        </w:rPr>
        <w:t xml:space="preserve">itness </w:t>
      </w:r>
      <w:r w:rsidR="00E51054">
        <w:rPr>
          <w:rFonts w:ascii="Book Antiqua" w:hAnsi="Book Antiqua"/>
          <w:smallCaps/>
          <w:kern w:val="0"/>
          <w:sz w:val="20"/>
          <w:szCs w:val="20"/>
          <w:lang w:val="en-GB"/>
          <w14:ligatures w14:val="none"/>
        </w:rPr>
        <w:t>s</w:t>
      </w:r>
      <w:r w:rsidR="00E51054" w:rsidRPr="00C77D9A">
        <w:rPr>
          <w:rFonts w:ascii="Book Antiqua" w:hAnsi="Book Antiqua"/>
          <w:smallCaps/>
          <w:kern w:val="0"/>
          <w:sz w:val="20"/>
          <w:szCs w:val="20"/>
          <w:lang w:val="en-GB"/>
          <w14:ligatures w14:val="none"/>
        </w:rPr>
        <w:t xml:space="preserve">tatement of Emma rampton, dated </w:t>
      </w:r>
      <w:r w:rsidR="00917BC5">
        <w:rPr>
          <w:rFonts w:ascii="Book Antiqua" w:hAnsi="Book Antiqua"/>
          <w:smallCaps/>
          <w:kern w:val="0"/>
          <w:sz w:val="20"/>
          <w:szCs w:val="20"/>
          <w:lang w:val="en-GB"/>
          <w14:ligatures w14:val="none"/>
        </w:rPr>
        <w:t>11 March</w:t>
      </w:r>
      <w:r w:rsidR="00E51054" w:rsidRPr="00C77D9A">
        <w:rPr>
          <w:rFonts w:ascii="Book Antiqua" w:hAnsi="Book Antiqua"/>
          <w:smallCaps/>
          <w:kern w:val="0"/>
          <w:sz w:val="20"/>
          <w:szCs w:val="20"/>
          <w:lang w:val="en-GB"/>
          <w14:ligatures w14:val="none"/>
        </w:rPr>
        <w:t xml:space="preserve"> 2025</w:t>
      </w:r>
      <w:r>
        <w:rPr>
          <w:rFonts w:ascii="Book Antiqua" w:hAnsi="Book Antiqua"/>
          <w:smallCaps/>
          <w:kern w:val="0"/>
          <w:sz w:val="20"/>
          <w:szCs w:val="20"/>
          <w:lang w:val="en-GB"/>
          <w14:ligatures w14:val="none"/>
        </w:rPr>
        <w:t xml:space="preserve"> </w:t>
      </w:r>
      <w:r>
        <w:rPr>
          <w:rFonts w:ascii="Book Antiqua" w:hAnsi="Book Antiqua"/>
          <w:b/>
          <w:bCs/>
          <w:smallCaps/>
          <w:kern w:val="0"/>
          <w:sz w:val="20"/>
          <w:szCs w:val="20"/>
          <w:lang w:val="en-GB"/>
          <w14:ligatures w14:val="none"/>
        </w:rPr>
        <w:t>[</w:t>
      </w:r>
      <w:r w:rsidR="00A54944">
        <w:rPr>
          <w:rFonts w:ascii="Book Antiqua" w:hAnsi="Book Antiqua"/>
          <w:b/>
          <w:bCs/>
          <w:smallCaps/>
          <w:kern w:val="0"/>
          <w:sz w:val="20"/>
          <w:szCs w:val="20"/>
          <w:lang w:val="en-GB"/>
          <w14:ligatures w14:val="none"/>
        </w:rPr>
        <w:t>SB/7/752</w:t>
      </w:r>
      <w:r w:rsidR="00062BA8">
        <w:rPr>
          <w:rFonts w:ascii="Book Antiqua" w:hAnsi="Book Antiqua"/>
          <w:b/>
          <w:bCs/>
          <w:smallCaps/>
          <w:kern w:val="0"/>
          <w:sz w:val="20"/>
          <w:szCs w:val="20"/>
          <w:lang w:val="en-GB"/>
          <w14:ligatures w14:val="none"/>
        </w:rPr>
        <w:t>(</w:t>
      </w:r>
      <w:r w:rsidR="00040C7A">
        <w:rPr>
          <w:rFonts w:ascii="Book Antiqua" w:hAnsi="Book Antiqua"/>
          <w:b/>
          <w:bCs/>
          <w:smallCaps/>
          <w:kern w:val="0"/>
          <w:sz w:val="20"/>
          <w:szCs w:val="20"/>
          <w:lang w:val="en-GB"/>
          <w14:ligatures w14:val="none"/>
        </w:rPr>
        <w:t>PDF114</w:t>
      </w:r>
      <w:r w:rsidR="00062BA8">
        <w:rPr>
          <w:rFonts w:ascii="Book Antiqua" w:hAnsi="Book Antiqua"/>
          <w:b/>
          <w:bCs/>
          <w:smallCaps/>
          <w:kern w:val="0"/>
          <w:sz w:val="20"/>
          <w:szCs w:val="20"/>
          <w:lang w:val="en-GB"/>
          <w14:ligatures w14:val="none"/>
        </w:rPr>
        <w:t>)</w:t>
      </w:r>
      <w:r w:rsidR="00040C7A">
        <w:rPr>
          <w:rFonts w:ascii="Book Antiqua" w:hAnsi="Book Antiqua"/>
          <w:b/>
          <w:bCs/>
          <w:smallCaps/>
          <w:kern w:val="0"/>
          <w:sz w:val="20"/>
          <w:szCs w:val="20"/>
          <w:lang w:val="en-GB"/>
          <w14:ligatures w14:val="none"/>
        </w:rPr>
        <w:t>]</w:t>
      </w:r>
      <w:r w:rsidR="009A3723">
        <w:rPr>
          <w:rFonts w:ascii="Book Antiqua" w:hAnsi="Book Antiqua"/>
          <w:b/>
          <w:bCs/>
          <w:smallCaps/>
          <w:kern w:val="0"/>
          <w:sz w:val="20"/>
          <w:szCs w:val="20"/>
          <w:lang w:val="en-GB"/>
          <w14:ligatures w14:val="none"/>
        </w:rPr>
        <w:t xml:space="preserve"> (“Rampton 3”)</w:t>
      </w:r>
    </w:p>
    <w:p w14:paraId="47675A6C" w14:textId="482D6F16" w:rsidR="00917BC5" w:rsidRPr="005458F5" w:rsidRDefault="00917BC5" w:rsidP="00AD25D8">
      <w:pPr>
        <w:pStyle w:val="ListParagraph"/>
        <w:numPr>
          <w:ilvl w:val="0"/>
          <w:numId w:val="4"/>
        </w:numPr>
        <w:spacing w:after="220" w:line="240" w:lineRule="auto"/>
        <w:rPr>
          <w:rFonts w:ascii="Book Antiqua" w:hAnsi="Book Antiqua"/>
          <w:smallCaps/>
          <w:kern w:val="0"/>
          <w:sz w:val="20"/>
          <w:szCs w:val="20"/>
          <w:lang w:val="en-GB"/>
          <w14:ligatures w14:val="none"/>
        </w:rPr>
      </w:pPr>
      <w:r>
        <w:rPr>
          <w:rFonts w:ascii="Book Antiqua" w:hAnsi="Book Antiqua"/>
          <w:smallCaps/>
          <w:kern w:val="0"/>
          <w:sz w:val="20"/>
          <w:szCs w:val="20"/>
          <w:lang w:val="en-GB"/>
          <w14:ligatures w14:val="none"/>
        </w:rPr>
        <w:t xml:space="preserve">Second witness statement of Samuel Maw, dated 11 March 2025 </w:t>
      </w:r>
      <w:r w:rsidRPr="00917BC5">
        <w:rPr>
          <w:rFonts w:ascii="Book Antiqua" w:hAnsi="Book Antiqua"/>
          <w:b/>
          <w:bCs/>
          <w:smallCaps/>
          <w:kern w:val="0"/>
          <w:sz w:val="20"/>
          <w:szCs w:val="20"/>
          <w:lang w:val="en-GB"/>
          <w14:ligatures w14:val="none"/>
        </w:rPr>
        <w:t>[</w:t>
      </w:r>
      <w:r w:rsidR="008C40F8">
        <w:rPr>
          <w:rFonts w:ascii="Book Antiqua" w:hAnsi="Book Antiqua"/>
          <w:b/>
          <w:bCs/>
          <w:smallCaps/>
          <w:kern w:val="0"/>
          <w:sz w:val="20"/>
          <w:szCs w:val="20"/>
          <w:lang w:val="en-GB"/>
          <w14:ligatures w14:val="none"/>
        </w:rPr>
        <w:t>SB/8/864</w:t>
      </w:r>
      <w:r w:rsidR="00062BA8">
        <w:rPr>
          <w:rFonts w:ascii="Book Antiqua" w:hAnsi="Book Antiqua"/>
          <w:b/>
          <w:bCs/>
          <w:smallCaps/>
          <w:kern w:val="0"/>
          <w:sz w:val="20"/>
          <w:szCs w:val="20"/>
          <w:lang w:val="en-GB"/>
          <w14:ligatures w14:val="none"/>
        </w:rPr>
        <w:t>(</w:t>
      </w:r>
      <w:r w:rsidR="00040C7A">
        <w:rPr>
          <w:rFonts w:ascii="Book Antiqua" w:hAnsi="Book Antiqua"/>
          <w:b/>
          <w:bCs/>
          <w:smallCaps/>
          <w:kern w:val="0"/>
          <w:sz w:val="20"/>
          <w:szCs w:val="20"/>
          <w:lang w:val="en-GB"/>
          <w14:ligatures w14:val="none"/>
        </w:rPr>
        <w:t>PDF226</w:t>
      </w:r>
      <w:r w:rsidR="00062BA8">
        <w:rPr>
          <w:rFonts w:ascii="Book Antiqua" w:hAnsi="Book Antiqua"/>
          <w:b/>
          <w:bCs/>
          <w:smallCaps/>
          <w:kern w:val="0"/>
          <w:sz w:val="20"/>
          <w:szCs w:val="20"/>
          <w:lang w:val="en-GB"/>
          <w14:ligatures w14:val="none"/>
        </w:rPr>
        <w:t>)</w:t>
      </w:r>
      <w:r w:rsidR="00040C7A">
        <w:rPr>
          <w:rFonts w:ascii="Book Antiqua" w:hAnsi="Book Antiqua"/>
          <w:b/>
          <w:bCs/>
          <w:smallCaps/>
          <w:kern w:val="0"/>
          <w:sz w:val="20"/>
          <w:szCs w:val="20"/>
          <w:lang w:val="en-GB"/>
          <w14:ligatures w14:val="none"/>
        </w:rPr>
        <w:t>]</w:t>
      </w:r>
      <w:r w:rsidR="009A3723">
        <w:rPr>
          <w:rFonts w:ascii="Book Antiqua" w:hAnsi="Book Antiqua"/>
          <w:b/>
          <w:bCs/>
          <w:smallCaps/>
          <w:kern w:val="0"/>
          <w:sz w:val="20"/>
          <w:szCs w:val="20"/>
          <w:lang w:val="en-GB"/>
          <w14:ligatures w14:val="none"/>
        </w:rPr>
        <w:t xml:space="preserve"> (“M</w:t>
      </w:r>
      <w:r w:rsidR="008C40F8">
        <w:rPr>
          <w:rFonts w:ascii="Book Antiqua" w:hAnsi="Book Antiqua"/>
          <w:b/>
          <w:bCs/>
          <w:smallCaps/>
          <w:kern w:val="0"/>
          <w:sz w:val="20"/>
          <w:szCs w:val="20"/>
          <w:lang w:val="en-GB"/>
          <w14:ligatures w14:val="none"/>
        </w:rPr>
        <w:t>A</w:t>
      </w:r>
      <w:r w:rsidR="009A3723">
        <w:rPr>
          <w:rFonts w:ascii="Book Antiqua" w:hAnsi="Book Antiqua"/>
          <w:b/>
          <w:bCs/>
          <w:smallCaps/>
          <w:kern w:val="0"/>
          <w:sz w:val="20"/>
          <w:szCs w:val="20"/>
          <w:lang w:val="en-GB"/>
          <w14:ligatures w14:val="none"/>
        </w:rPr>
        <w:t>w 2”)</w:t>
      </w:r>
    </w:p>
    <w:p w14:paraId="73562DD2" w14:textId="1127611D" w:rsidR="00925EC0" w:rsidRDefault="00023208" w:rsidP="00AD25D8">
      <w:pPr>
        <w:pStyle w:val="ListParagraph"/>
        <w:numPr>
          <w:ilvl w:val="0"/>
          <w:numId w:val="4"/>
        </w:numPr>
        <w:spacing w:after="220" w:line="240" w:lineRule="auto"/>
        <w:rPr>
          <w:rFonts w:ascii="Book Antiqua" w:hAnsi="Book Antiqua"/>
          <w:smallCaps/>
          <w:kern w:val="0"/>
          <w:sz w:val="20"/>
          <w:szCs w:val="20"/>
          <w:lang w:val="en-GB"/>
          <w14:ligatures w14:val="none"/>
        </w:rPr>
      </w:pPr>
      <w:r>
        <w:rPr>
          <w:rFonts w:ascii="Book Antiqua" w:hAnsi="Book Antiqua"/>
          <w:smallCaps/>
          <w:kern w:val="0"/>
          <w:sz w:val="20"/>
          <w:szCs w:val="20"/>
          <w:lang w:val="en-GB"/>
          <w14:ligatures w14:val="none"/>
        </w:rPr>
        <w:t>Witness statements filed by the Intervener on 14 March 2025</w:t>
      </w:r>
    </w:p>
    <w:p w14:paraId="1A80D7A3" w14:textId="3E347EBC" w:rsidR="00023208" w:rsidRDefault="00023208" w:rsidP="00AD25D8">
      <w:pPr>
        <w:pStyle w:val="ListParagraph"/>
        <w:numPr>
          <w:ilvl w:val="0"/>
          <w:numId w:val="4"/>
        </w:numPr>
        <w:spacing w:after="220" w:line="240" w:lineRule="auto"/>
        <w:rPr>
          <w:rFonts w:ascii="Book Antiqua" w:hAnsi="Book Antiqua"/>
          <w:smallCaps/>
          <w:kern w:val="0"/>
          <w:sz w:val="20"/>
          <w:szCs w:val="20"/>
          <w:lang w:val="en-GB"/>
          <w14:ligatures w14:val="none"/>
        </w:rPr>
      </w:pPr>
      <w:r>
        <w:rPr>
          <w:rFonts w:ascii="Book Antiqua" w:hAnsi="Book Antiqua"/>
          <w:smallCaps/>
          <w:kern w:val="0"/>
          <w:sz w:val="20"/>
          <w:szCs w:val="20"/>
          <w:lang w:val="en-GB"/>
          <w14:ligatures w14:val="none"/>
        </w:rPr>
        <w:t xml:space="preserve">Fourth witness statement of Emma Rampton, dated </w:t>
      </w:r>
      <w:r w:rsidR="000856F2">
        <w:rPr>
          <w:rFonts w:ascii="Book Antiqua" w:hAnsi="Book Antiqua"/>
          <w:smallCaps/>
          <w:kern w:val="0"/>
          <w:sz w:val="20"/>
          <w:szCs w:val="20"/>
          <w:lang w:val="en-GB"/>
          <w14:ligatures w14:val="none"/>
        </w:rPr>
        <w:t>16 March 2025</w:t>
      </w:r>
    </w:p>
    <w:p w14:paraId="7278F9FF" w14:textId="5AAEF180" w:rsidR="00917BC5" w:rsidRPr="008411D0" w:rsidRDefault="00C3554E" w:rsidP="008411D0">
      <w:pPr>
        <w:pStyle w:val="ListParagraph"/>
        <w:numPr>
          <w:ilvl w:val="0"/>
          <w:numId w:val="4"/>
        </w:numPr>
        <w:spacing w:after="220" w:line="240" w:lineRule="auto"/>
        <w:rPr>
          <w:rFonts w:ascii="Book Antiqua" w:hAnsi="Book Antiqua"/>
          <w:smallCaps/>
          <w:kern w:val="0"/>
          <w:sz w:val="20"/>
          <w:szCs w:val="20"/>
          <w:lang w:val="en-GB"/>
          <w14:ligatures w14:val="none"/>
        </w:rPr>
      </w:pPr>
      <w:r w:rsidRPr="00C77D9A">
        <w:rPr>
          <w:rFonts w:ascii="Book Antiqua" w:hAnsi="Book Antiqua"/>
          <w:smallCaps/>
          <w:kern w:val="0"/>
          <w:sz w:val="20"/>
          <w:szCs w:val="20"/>
          <w:lang w:val="en-GB"/>
          <w14:ligatures w14:val="none"/>
        </w:rPr>
        <w:t>Draft order</w:t>
      </w:r>
      <w:r w:rsidR="00917BC5">
        <w:rPr>
          <w:rFonts w:ascii="Book Antiqua" w:hAnsi="Book Antiqua"/>
          <w:smallCaps/>
          <w:kern w:val="0"/>
          <w:sz w:val="20"/>
          <w:szCs w:val="20"/>
          <w:lang w:val="en-GB"/>
          <w14:ligatures w14:val="none"/>
        </w:rPr>
        <w:t xml:space="preserve"> </w:t>
      </w:r>
      <w:r w:rsidR="00917BC5">
        <w:rPr>
          <w:rFonts w:ascii="Book Antiqua" w:hAnsi="Book Antiqua"/>
          <w:b/>
          <w:bCs/>
          <w:smallCaps/>
          <w:kern w:val="0"/>
          <w:sz w:val="20"/>
          <w:szCs w:val="20"/>
          <w:lang w:val="en-GB"/>
          <w14:ligatures w14:val="none"/>
        </w:rPr>
        <w:t>[</w:t>
      </w:r>
      <w:r w:rsidR="00D50215">
        <w:rPr>
          <w:rFonts w:ascii="Book Antiqua" w:hAnsi="Book Antiqua"/>
          <w:b/>
          <w:bCs/>
          <w:smallCaps/>
          <w:kern w:val="0"/>
          <w:sz w:val="20"/>
          <w:szCs w:val="20"/>
          <w:lang w:val="en-GB"/>
          <w14:ligatures w14:val="none"/>
        </w:rPr>
        <w:t>SB/</w:t>
      </w:r>
      <w:r w:rsidR="00A54944">
        <w:rPr>
          <w:rFonts w:ascii="Book Antiqua" w:hAnsi="Book Antiqua"/>
          <w:b/>
          <w:bCs/>
          <w:smallCaps/>
          <w:kern w:val="0"/>
          <w:sz w:val="20"/>
          <w:szCs w:val="20"/>
          <w:lang w:val="en-GB"/>
          <w14:ligatures w14:val="none"/>
        </w:rPr>
        <w:t>4/665</w:t>
      </w:r>
      <w:r w:rsidR="00BB1AB4">
        <w:rPr>
          <w:rFonts w:ascii="Book Antiqua" w:hAnsi="Book Antiqua"/>
          <w:b/>
          <w:bCs/>
          <w:smallCaps/>
          <w:kern w:val="0"/>
          <w:sz w:val="20"/>
          <w:szCs w:val="20"/>
          <w:lang w:val="en-GB"/>
          <w14:ligatures w14:val="none"/>
        </w:rPr>
        <w:t>(</w:t>
      </w:r>
      <w:r w:rsidR="00040C7A">
        <w:rPr>
          <w:rFonts w:ascii="Book Antiqua" w:hAnsi="Book Antiqua"/>
          <w:b/>
          <w:bCs/>
          <w:smallCaps/>
          <w:kern w:val="0"/>
          <w:sz w:val="20"/>
          <w:szCs w:val="20"/>
          <w:lang w:val="en-GB"/>
          <w14:ligatures w14:val="none"/>
        </w:rPr>
        <w:t>PDF27</w:t>
      </w:r>
      <w:r w:rsidR="00BB1AB4">
        <w:rPr>
          <w:rFonts w:ascii="Book Antiqua" w:hAnsi="Book Antiqua"/>
          <w:b/>
          <w:bCs/>
          <w:smallCaps/>
          <w:kern w:val="0"/>
          <w:sz w:val="20"/>
          <w:szCs w:val="20"/>
          <w:lang w:val="en-GB"/>
          <w14:ligatures w14:val="none"/>
        </w:rPr>
        <w:t>)</w:t>
      </w:r>
      <w:r w:rsidR="00040C7A">
        <w:rPr>
          <w:rFonts w:ascii="Book Antiqua" w:hAnsi="Book Antiqua"/>
          <w:b/>
          <w:bCs/>
          <w:smallCaps/>
          <w:kern w:val="0"/>
          <w:sz w:val="20"/>
          <w:szCs w:val="20"/>
          <w:lang w:val="en-GB"/>
          <w14:ligatures w14:val="none"/>
        </w:rPr>
        <w:t>]</w:t>
      </w:r>
    </w:p>
    <w:p w14:paraId="1BCBF7CF" w14:textId="77777777" w:rsidR="005458F5" w:rsidRDefault="00E31BED" w:rsidP="0021078E">
      <w:pPr>
        <w:spacing w:after="0" w:line="240" w:lineRule="auto"/>
        <w:rPr>
          <w:rFonts w:ascii="Book Antiqua" w:eastAsia="Book Antiqua" w:hAnsi="Book Antiqua" w:cs="Book Antiqua"/>
          <w:bCs/>
          <w:smallCaps/>
          <w:kern w:val="0"/>
          <w:sz w:val="20"/>
          <w:szCs w:val="20"/>
          <w:lang w:eastAsia="en-GB"/>
          <w14:ligatures w14:val="none"/>
        </w:rPr>
      </w:pPr>
      <w:r>
        <w:rPr>
          <w:rFonts w:ascii="Book Antiqua" w:eastAsia="Book Antiqua" w:hAnsi="Book Antiqua" w:cs="Book Antiqua"/>
          <w:bCs/>
          <w:smallCaps/>
          <w:kern w:val="0"/>
          <w:sz w:val="20"/>
          <w:szCs w:val="20"/>
          <w:lang w:eastAsia="en-GB"/>
          <w14:ligatures w14:val="none"/>
        </w:rPr>
        <w:t>The Court will have before it the original hearing bundle (</w:t>
      </w:r>
      <w:r w:rsidR="00EF0535" w:rsidRPr="00DA3347">
        <w:rPr>
          <w:rFonts w:ascii="Book Antiqua" w:eastAsia="Book Antiqua" w:hAnsi="Book Antiqua" w:cs="Book Antiqua"/>
          <w:bCs/>
          <w:smallCaps/>
          <w:kern w:val="0"/>
          <w:sz w:val="20"/>
          <w:szCs w:val="20"/>
          <w:lang w:eastAsia="en-GB"/>
          <w14:ligatures w14:val="none"/>
        </w:rPr>
        <w:t>“</w:t>
      </w:r>
      <w:r w:rsidR="00EF0535" w:rsidRPr="00DA3347">
        <w:rPr>
          <w:rFonts w:ascii="Book Antiqua" w:eastAsia="Book Antiqua" w:hAnsi="Book Antiqua" w:cs="Book Antiqua"/>
          <w:b/>
          <w:smallCaps/>
          <w:kern w:val="0"/>
          <w:sz w:val="20"/>
          <w:szCs w:val="20"/>
          <w:lang w:eastAsia="en-GB"/>
          <w14:ligatures w14:val="none"/>
        </w:rPr>
        <w:t>[HB]</w:t>
      </w:r>
      <w:r w:rsidR="00EF0535" w:rsidRPr="00DA3347">
        <w:rPr>
          <w:rFonts w:ascii="Book Antiqua" w:eastAsia="Book Antiqua" w:hAnsi="Book Antiqua" w:cs="Book Antiqua"/>
          <w:bCs/>
          <w:smallCaps/>
          <w:kern w:val="0"/>
          <w:sz w:val="20"/>
          <w:szCs w:val="20"/>
          <w:lang w:eastAsia="en-GB"/>
          <w14:ligatures w14:val="none"/>
        </w:rPr>
        <w:t>”</w:t>
      </w:r>
      <w:r w:rsidR="005B0AF3">
        <w:rPr>
          <w:rFonts w:ascii="Book Antiqua" w:eastAsia="Book Antiqua" w:hAnsi="Book Antiqua" w:cs="Book Antiqua"/>
          <w:bCs/>
          <w:smallCaps/>
          <w:kern w:val="0"/>
          <w:sz w:val="20"/>
          <w:szCs w:val="20"/>
          <w:lang w:eastAsia="en-GB"/>
          <w14:ligatures w14:val="none"/>
        </w:rPr>
        <w:t xml:space="preserve">) and a supplementary hearing bundle containing </w:t>
      </w:r>
      <w:r w:rsidR="00612BEA">
        <w:rPr>
          <w:rFonts w:ascii="Book Antiqua" w:eastAsia="Book Antiqua" w:hAnsi="Book Antiqua" w:cs="Book Antiqua"/>
          <w:bCs/>
          <w:smallCaps/>
          <w:kern w:val="0"/>
          <w:sz w:val="20"/>
          <w:szCs w:val="20"/>
          <w:lang w:eastAsia="en-GB"/>
          <w14:ligatures w14:val="none"/>
        </w:rPr>
        <w:t>further documents (“</w:t>
      </w:r>
      <w:r w:rsidR="00612BEA">
        <w:rPr>
          <w:rFonts w:ascii="Book Antiqua" w:eastAsia="Book Antiqua" w:hAnsi="Book Antiqua" w:cs="Book Antiqua"/>
          <w:b/>
          <w:smallCaps/>
          <w:kern w:val="0"/>
          <w:sz w:val="20"/>
          <w:szCs w:val="20"/>
          <w:lang w:eastAsia="en-GB"/>
          <w14:ligatures w14:val="none"/>
        </w:rPr>
        <w:t>[SB]</w:t>
      </w:r>
      <w:r w:rsidR="00612BEA">
        <w:rPr>
          <w:rFonts w:ascii="Book Antiqua" w:eastAsia="Book Antiqua" w:hAnsi="Book Antiqua" w:cs="Book Antiqua"/>
          <w:bCs/>
          <w:smallCaps/>
          <w:kern w:val="0"/>
          <w:sz w:val="20"/>
          <w:szCs w:val="20"/>
          <w:lang w:eastAsia="en-GB"/>
          <w14:ligatures w14:val="none"/>
        </w:rPr>
        <w:t>”)</w:t>
      </w:r>
      <w:r w:rsidR="00FD73F2">
        <w:rPr>
          <w:rFonts w:ascii="Book Antiqua" w:eastAsia="Book Antiqua" w:hAnsi="Book Antiqua" w:cs="Book Antiqua"/>
          <w:bCs/>
          <w:smallCaps/>
          <w:kern w:val="0"/>
          <w:sz w:val="20"/>
          <w:szCs w:val="20"/>
          <w:lang w:eastAsia="en-GB"/>
          <w14:ligatures w14:val="none"/>
        </w:rPr>
        <w:t>.</w:t>
      </w:r>
      <w:r w:rsidR="00D809A9">
        <w:rPr>
          <w:rFonts w:ascii="Book Antiqua" w:eastAsia="Book Antiqua" w:hAnsi="Book Antiqua" w:cs="Book Antiqua"/>
          <w:bCs/>
          <w:smallCaps/>
          <w:kern w:val="0"/>
          <w:sz w:val="20"/>
          <w:szCs w:val="20"/>
          <w:lang w:eastAsia="en-GB"/>
          <w14:ligatures w14:val="none"/>
        </w:rPr>
        <w:t xml:space="preserve"> </w:t>
      </w:r>
    </w:p>
    <w:p w14:paraId="00410C1A" w14:textId="099E5FC0" w:rsidR="0021078E" w:rsidRDefault="00B979EB" w:rsidP="0021078E">
      <w:pPr>
        <w:spacing w:after="0" w:line="240" w:lineRule="auto"/>
        <w:rPr>
          <w:rFonts w:ascii="Book Antiqua" w:eastAsia="Book Antiqua" w:hAnsi="Book Antiqua" w:cs="Book Antiqua"/>
          <w:bCs/>
          <w:smallCaps/>
          <w:kern w:val="0"/>
          <w:sz w:val="20"/>
          <w:szCs w:val="20"/>
          <w:lang w:eastAsia="en-GB"/>
          <w14:ligatures w14:val="none"/>
        </w:rPr>
      </w:pPr>
      <w:r>
        <w:rPr>
          <w:rFonts w:ascii="Book Antiqua" w:eastAsia="Book Antiqua" w:hAnsi="Book Antiqua" w:cs="Book Antiqua"/>
          <w:bCs/>
          <w:smallCaps/>
          <w:kern w:val="0"/>
          <w:sz w:val="20"/>
          <w:szCs w:val="20"/>
          <w:lang w:eastAsia="en-GB"/>
          <w14:ligatures w14:val="none"/>
        </w:rPr>
        <w:t>r</w:t>
      </w:r>
      <w:r w:rsidR="00FC119F">
        <w:rPr>
          <w:rFonts w:ascii="Book Antiqua" w:eastAsia="Book Antiqua" w:hAnsi="Book Antiqua" w:cs="Book Antiqua"/>
          <w:bCs/>
          <w:smallCaps/>
          <w:kern w:val="0"/>
          <w:sz w:val="20"/>
          <w:szCs w:val="20"/>
          <w:lang w:eastAsia="en-GB"/>
          <w14:ligatures w14:val="none"/>
        </w:rPr>
        <w:t xml:space="preserve">eference to </w:t>
      </w:r>
      <w:r w:rsidR="00F94E4D" w:rsidRPr="005458F5">
        <w:rPr>
          <w:rFonts w:ascii="Book Antiqua" w:eastAsia="Book Antiqua" w:hAnsi="Book Antiqua" w:cs="Book Antiqua"/>
          <w:b/>
          <w:smallCaps/>
          <w:kern w:val="0"/>
          <w:sz w:val="20"/>
          <w:szCs w:val="20"/>
          <w:lang w:eastAsia="en-GB"/>
          <w14:ligatures w14:val="none"/>
        </w:rPr>
        <w:t>“[</w:t>
      </w:r>
      <w:r>
        <w:rPr>
          <w:rFonts w:ascii="Book Antiqua" w:eastAsia="Book Antiqua" w:hAnsi="Book Antiqua" w:cs="Book Antiqua"/>
          <w:b/>
          <w:smallCaps/>
          <w:kern w:val="0"/>
          <w:sz w:val="20"/>
          <w:szCs w:val="20"/>
          <w:lang w:eastAsia="en-GB"/>
          <w14:ligatures w14:val="none"/>
        </w:rPr>
        <w:t>hb or sb/x/y</w:t>
      </w:r>
      <w:r w:rsidR="00053A07" w:rsidRPr="005458F5">
        <w:rPr>
          <w:rFonts w:ascii="Book Antiqua" w:eastAsia="Book Antiqua" w:hAnsi="Book Antiqua" w:cs="Book Antiqua"/>
          <w:b/>
          <w:smallCaps/>
          <w:kern w:val="0"/>
          <w:sz w:val="20"/>
          <w:szCs w:val="20"/>
          <w:lang w:eastAsia="en-GB"/>
          <w14:ligatures w14:val="none"/>
        </w:rPr>
        <w:t>(pdf</w:t>
      </w:r>
      <w:r>
        <w:rPr>
          <w:rFonts w:ascii="Book Antiqua" w:eastAsia="Book Antiqua" w:hAnsi="Book Antiqua" w:cs="Book Antiqua"/>
          <w:b/>
          <w:smallCaps/>
          <w:kern w:val="0"/>
          <w:sz w:val="20"/>
          <w:szCs w:val="20"/>
          <w:lang w:eastAsia="en-GB"/>
          <w14:ligatures w14:val="none"/>
        </w:rPr>
        <w:t>z</w:t>
      </w:r>
      <w:r w:rsidR="00053A07" w:rsidRPr="005458F5">
        <w:rPr>
          <w:rFonts w:ascii="Book Antiqua" w:eastAsia="Book Antiqua" w:hAnsi="Book Antiqua" w:cs="Book Antiqua"/>
          <w:b/>
          <w:smallCaps/>
          <w:kern w:val="0"/>
          <w:sz w:val="20"/>
          <w:szCs w:val="20"/>
          <w:lang w:eastAsia="en-GB"/>
          <w14:ligatures w14:val="none"/>
        </w:rPr>
        <w:t>)</w:t>
      </w:r>
      <w:r w:rsidR="00A47A78">
        <w:rPr>
          <w:rFonts w:ascii="Book Antiqua" w:eastAsia="Book Antiqua" w:hAnsi="Book Antiqua" w:cs="Book Antiqua"/>
          <w:b/>
          <w:smallCaps/>
          <w:kern w:val="0"/>
          <w:sz w:val="20"/>
          <w:szCs w:val="20"/>
          <w:lang w:eastAsia="en-GB"/>
          <w14:ligatures w14:val="none"/>
        </w:rPr>
        <w:t>]</w:t>
      </w:r>
      <w:r w:rsidR="00F94E4D" w:rsidRPr="005458F5">
        <w:rPr>
          <w:rFonts w:ascii="Book Antiqua" w:eastAsia="Book Antiqua" w:hAnsi="Book Antiqua" w:cs="Book Antiqua"/>
          <w:b/>
          <w:smallCaps/>
          <w:kern w:val="0"/>
          <w:sz w:val="20"/>
          <w:szCs w:val="20"/>
          <w:lang w:eastAsia="en-GB"/>
          <w14:ligatures w14:val="none"/>
        </w:rPr>
        <w:t>”</w:t>
      </w:r>
      <w:r w:rsidR="00F94E4D">
        <w:rPr>
          <w:rFonts w:ascii="Book Antiqua" w:eastAsia="Book Antiqua" w:hAnsi="Book Antiqua" w:cs="Book Antiqua"/>
          <w:bCs/>
          <w:smallCaps/>
          <w:kern w:val="0"/>
          <w:sz w:val="20"/>
          <w:szCs w:val="20"/>
          <w:lang w:eastAsia="en-GB"/>
          <w14:ligatures w14:val="none"/>
        </w:rPr>
        <w:t xml:space="preserve"> is a reference to tab x and page y of the hearing bundle or supplementary hearing bundle</w:t>
      </w:r>
      <w:r w:rsidR="00A47A78">
        <w:rPr>
          <w:rFonts w:ascii="Book Antiqua" w:eastAsia="Book Antiqua" w:hAnsi="Book Antiqua" w:cs="Book Antiqua"/>
          <w:bCs/>
          <w:smallCaps/>
          <w:kern w:val="0"/>
          <w:sz w:val="20"/>
          <w:szCs w:val="20"/>
          <w:lang w:eastAsia="en-GB"/>
          <w14:ligatures w14:val="none"/>
        </w:rPr>
        <w:t xml:space="preserve"> and </w:t>
      </w:r>
      <w:r w:rsidR="00FC119F">
        <w:rPr>
          <w:rFonts w:ascii="Book Antiqua" w:eastAsia="Book Antiqua" w:hAnsi="Book Antiqua" w:cs="Book Antiqua"/>
          <w:bCs/>
          <w:smallCaps/>
          <w:kern w:val="0"/>
          <w:sz w:val="20"/>
          <w:szCs w:val="20"/>
          <w:lang w:eastAsia="en-GB"/>
          <w14:ligatures w14:val="none"/>
        </w:rPr>
        <w:t xml:space="preserve">to the page number of the </w:t>
      </w:r>
      <w:r w:rsidR="0089104C">
        <w:rPr>
          <w:rFonts w:ascii="Book Antiqua" w:eastAsia="Book Antiqua" w:hAnsi="Book Antiqua" w:cs="Book Antiqua"/>
          <w:bCs/>
          <w:smallCaps/>
          <w:kern w:val="0"/>
          <w:sz w:val="20"/>
          <w:szCs w:val="20"/>
          <w:lang w:eastAsia="en-GB"/>
          <w14:ligatures w14:val="none"/>
        </w:rPr>
        <w:t xml:space="preserve">pdf of the </w:t>
      </w:r>
      <w:r w:rsidR="00FC119F">
        <w:rPr>
          <w:rFonts w:ascii="Book Antiqua" w:eastAsia="Book Antiqua" w:hAnsi="Book Antiqua" w:cs="Book Antiqua"/>
          <w:bCs/>
          <w:smallCaps/>
          <w:kern w:val="0"/>
          <w:sz w:val="20"/>
          <w:szCs w:val="20"/>
          <w:lang w:eastAsia="en-GB"/>
          <w14:ligatures w14:val="none"/>
        </w:rPr>
        <w:t xml:space="preserve">electronic </w:t>
      </w:r>
      <w:r w:rsidR="0089104C">
        <w:rPr>
          <w:rFonts w:ascii="Book Antiqua" w:eastAsia="Book Antiqua" w:hAnsi="Book Antiqua" w:cs="Book Antiqua"/>
          <w:bCs/>
          <w:smallCaps/>
          <w:kern w:val="0"/>
          <w:sz w:val="20"/>
          <w:szCs w:val="20"/>
          <w:lang w:eastAsia="en-GB"/>
          <w14:ligatures w14:val="none"/>
        </w:rPr>
        <w:t xml:space="preserve">hearing </w:t>
      </w:r>
      <w:r w:rsidR="00FC119F">
        <w:rPr>
          <w:rFonts w:ascii="Book Antiqua" w:eastAsia="Book Antiqua" w:hAnsi="Book Antiqua" w:cs="Book Antiqua"/>
          <w:bCs/>
          <w:smallCaps/>
          <w:kern w:val="0"/>
          <w:sz w:val="20"/>
          <w:szCs w:val="20"/>
          <w:lang w:eastAsia="en-GB"/>
          <w14:ligatures w14:val="none"/>
        </w:rPr>
        <w:t>bundles.</w:t>
      </w:r>
    </w:p>
    <w:p w14:paraId="1127D2A6" w14:textId="4436926A" w:rsidR="00401BD9" w:rsidRPr="00401BD9" w:rsidRDefault="00EF0535" w:rsidP="00EF0535">
      <w:pPr>
        <w:spacing w:after="220" w:line="240" w:lineRule="auto"/>
        <w:rPr>
          <w:rFonts w:ascii="Book Antiqua" w:eastAsia="Book Antiqua" w:hAnsi="Book Antiqua" w:cs="Book Antiqua"/>
          <w:bCs/>
          <w:smallCaps/>
          <w:kern w:val="0"/>
          <w:sz w:val="8"/>
          <w:szCs w:val="8"/>
          <w:lang w:eastAsia="en-GB"/>
          <w14:ligatures w14:val="none"/>
        </w:rPr>
      </w:pPr>
      <w:r w:rsidRPr="00DA3347">
        <w:rPr>
          <w:rFonts w:ascii="Book Antiqua" w:eastAsia="Book Antiqua" w:hAnsi="Book Antiqua" w:cs="Book Antiqua"/>
          <w:bCs/>
          <w:smallCaps/>
          <w:kern w:val="0"/>
          <w:sz w:val="20"/>
          <w:szCs w:val="20"/>
          <w:lang w:eastAsia="en-GB"/>
          <w14:ligatures w14:val="none"/>
        </w:rPr>
        <w:t>Reference to “</w:t>
      </w:r>
      <w:r w:rsidRPr="00DA3347">
        <w:rPr>
          <w:rFonts w:ascii="Book Antiqua" w:eastAsia="Book Antiqua" w:hAnsi="Book Antiqua" w:cs="Book Antiqua"/>
          <w:b/>
          <w:smallCaps/>
          <w:kern w:val="0"/>
          <w:sz w:val="20"/>
          <w:szCs w:val="20"/>
          <w:lang w:eastAsia="en-GB"/>
          <w14:ligatures w14:val="none"/>
        </w:rPr>
        <w:t>[AB/</w:t>
      </w:r>
      <w:r w:rsidR="005321AF">
        <w:rPr>
          <w:rFonts w:ascii="Book Antiqua" w:eastAsia="Book Antiqua" w:hAnsi="Book Antiqua" w:cs="Book Antiqua"/>
          <w:b/>
          <w:smallCaps/>
          <w:kern w:val="0"/>
          <w:sz w:val="20"/>
          <w:szCs w:val="20"/>
          <w:lang w:eastAsia="en-GB"/>
          <w14:ligatures w14:val="none"/>
        </w:rPr>
        <w:t>x/</w:t>
      </w:r>
      <w:r w:rsidRPr="00DA3347">
        <w:rPr>
          <w:rFonts w:ascii="Book Antiqua" w:eastAsia="Book Antiqua" w:hAnsi="Book Antiqua" w:cs="Book Antiqua"/>
          <w:b/>
          <w:smallCaps/>
          <w:kern w:val="0"/>
          <w:sz w:val="20"/>
          <w:szCs w:val="20"/>
          <w:lang w:eastAsia="en-GB"/>
          <w14:ligatures w14:val="none"/>
        </w:rPr>
        <w:t>y]</w:t>
      </w:r>
      <w:r w:rsidRPr="00DA3347">
        <w:rPr>
          <w:rFonts w:ascii="Book Antiqua" w:eastAsia="Book Antiqua" w:hAnsi="Book Antiqua" w:cs="Book Antiqua"/>
          <w:bCs/>
          <w:smallCaps/>
          <w:kern w:val="0"/>
          <w:sz w:val="20"/>
          <w:szCs w:val="20"/>
          <w:lang w:eastAsia="en-GB"/>
          <w14:ligatures w14:val="none"/>
        </w:rPr>
        <w:t xml:space="preserve">” is a reference to </w:t>
      </w:r>
      <w:r w:rsidR="005321AF">
        <w:rPr>
          <w:rFonts w:ascii="Book Antiqua" w:eastAsia="Book Antiqua" w:hAnsi="Book Antiqua" w:cs="Book Antiqua"/>
          <w:bCs/>
          <w:smallCaps/>
          <w:kern w:val="0"/>
          <w:sz w:val="20"/>
          <w:szCs w:val="20"/>
          <w:lang w:eastAsia="en-GB"/>
          <w14:ligatures w14:val="none"/>
        </w:rPr>
        <w:t xml:space="preserve">tab x and </w:t>
      </w:r>
      <w:r w:rsidRPr="00DA3347">
        <w:rPr>
          <w:rFonts w:ascii="Book Antiqua" w:eastAsia="Book Antiqua" w:hAnsi="Book Antiqua" w:cs="Book Antiqua"/>
          <w:bCs/>
          <w:smallCaps/>
          <w:kern w:val="0"/>
          <w:sz w:val="20"/>
          <w:szCs w:val="20"/>
          <w:lang w:eastAsia="en-GB"/>
          <w14:ligatures w14:val="none"/>
        </w:rPr>
        <w:t>page y of the Authorities Bundle.</w:t>
      </w:r>
      <w:r w:rsidR="00E70D12">
        <w:rPr>
          <w:rFonts w:ascii="Book Antiqua" w:eastAsia="Book Antiqua" w:hAnsi="Book Antiqua" w:cs="Book Antiqua"/>
          <w:bCs/>
          <w:smallCaps/>
          <w:kern w:val="0"/>
          <w:sz w:val="20"/>
          <w:szCs w:val="20"/>
          <w:lang w:eastAsia="en-GB"/>
          <w14:ligatures w14:val="none"/>
        </w:rPr>
        <w:t xml:space="preserve"> </w:t>
      </w:r>
    </w:p>
    <w:p w14:paraId="63EAFF67" w14:textId="77777777" w:rsidR="00064732" w:rsidRPr="00064732" w:rsidRDefault="00064732" w:rsidP="000B7B23">
      <w:pPr>
        <w:numPr>
          <w:ilvl w:val="0"/>
          <w:numId w:val="2"/>
        </w:numPr>
        <w:spacing w:after="220" w:line="360" w:lineRule="auto"/>
        <w:ind w:left="567" w:hanging="567"/>
        <w:jc w:val="both"/>
        <w:rPr>
          <w:rFonts w:ascii="Book Antiqua" w:hAnsi="Book Antiqua"/>
          <w:b/>
          <w:bCs/>
          <w:kern w:val="0"/>
          <w:sz w:val="23"/>
          <w:szCs w:val="23"/>
          <w:u w:val="single"/>
          <w:lang w:val="en-GB"/>
          <w14:ligatures w14:val="none"/>
        </w:rPr>
      </w:pPr>
      <w:r w:rsidRPr="00064732">
        <w:rPr>
          <w:rFonts w:ascii="Book Antiqua" w:hAnsi="Book Antiqua"/>
          <w:b/>
          <w:bCs/>
          <w:kern w:val="0"/>
          <w:sz w:val="23"/>
          <w:szCs w:val="23"/>
          <w:u w:val="single"/>
          <w:lang w:val="en-GB"/>
          <w14:ligatures w14:val="none"/>
        </w:rPr>
        <w:t>INTRODUCTION</w:t>
      </w:r>
    </w:p>
    <w:p w14:paraId="55121F56" w14:textId="4A33B372" w:rsidR="003F1CAB" w:rsidRPr="003F1CAB" w:rsidRDefault="003F1CAB" w:rsidP="00D939F8">
      <w:pPr>
        <w:pStyle w:val="ListParagraph"/>
        <w:numPr>
          <w:ilvl w:val="0"/>
          <w:numId w:val="3"/>
        </w:numPr>
        <w:spacing w:line="360" w:lineRule="auto"/>
        <w:ind w:left="567" w:hanging="567"/>
        <w:contextualSpacing w:val="0"/>
        <w:jc w:val="both"/>
        <w:rPr>
          <w:rFonts w:ascii="Book Antiqua" w:hAnsi="Book Antiqua"/>
          <w:sz w:val="23"/>
          <w:szCs w:val="23"/>
        </w:rPr>
      </w:pPr>
      <w:r w:rsidRPr="00D939F8">
        <w:rPr>
          <w:rFonts w:ascii="Book Antiqua" w:hAnsi="Book Antiqua"/>
          <w:kern w:val="0"/>
          <w:sz w:val="23"/>
          <w:szCs w:val="23"/>
          <w:lang w:val="en-GB"/>
          <w14:ligatures w14:val="none"/>
        </w:rPr>
        <w:lastRenderedPageBreak/>
        <w:t xml:space="preserve">The hearing on </w:t>
      </w:r>
      <w:r w:rsidR="0066693D">
        <w:rPr>
          <w:rFonts w:ascii="Book Antiqua" w:hAnsi="Book Antiqua"/>
          <w:kern w:val="0"/>
          <w:sz w:val="23"/>
          <w:szCs w:val="23"/>
          <w:lang w:val="en-GB"/>
          <w14:ligatures w14:val="none"/>
        </w:rPr>
        <w:t>19 March</w:t>
      </w:r>
      <w:r w:rsidRPr="00D939F8">
        <w:rPr>
          <w:rFonts w:ascii="Book Antiqua" w:hAnsi="Book Antiqua"/>
          <w:kern w:val="0"/>
          <w:sz w:val="23"/>
          <w:szCs w:val="23"/>
          <w:lang w:val="en-GB"/>
          <w14:ligatures w14:val="none"/>
        </w:rPr>
        <w:t xml:space="preserve"> 2025 is the </w:t>
      </w:r>
      <w:r w:rsidR="0066693D">
        <w:rPr>
          <w:rFonts w:ascii="Book Antiqua" w:hAnsi="Book Antiqua"/>
          <w:kern w:val="0"/>
          <w:sz w:val="23"/>
          <w:szCs w:val="23"/>
          <w:lang w:val="en-GB"/>
          <w14:ligatures w14:val="none"/>
        </w:rPr>
        <w:t xml:space="preserve">adjourned </w:t>
      </w:r>
      <w:r w:rsidRPr="00D939F8">
        <w:rPr>
          <w:rFonts w:ascii="Book Antiqua" w:hAnsi="Book Antiqua"/>
          <w:kern w:val="0"/>
          <w:sz w:val="23"/>
          <w:szCs w:val="23"/>
          <w:lang w:val="en-GB"/>
          <w14:ligatures w14:val="none"/>
        </w:rPr>
        <w:t xml:space="preserve">hearing of the </w:t>
      </w:r>
      <w:r>
        <w:rPr>
          <w:rFonts w:ascii="Book Antiqua" w:hAnsi="Book Antiqua"/>
          <w:kern w:val="0"/>
          <w:sz w:val="23"/>
          <w:szCs w:val="23"/>
          <w:lang w:val="en-GB"/>
          <w14:ligatures w14:val="none"/>
        </w:rPr>
        <w:t>Claimant’s (the “</w:t>
      </w:r>
      <w:r>
        <w:rPr>
          <w:rFonts w:ascii="Book Antiqua" w:hAnsi="Book Antiqua"/>
          <w:b/>
          <w:bCs/>
          <w:kern w:val="0"/>
          <w:sz w:val="23"/>
          <w:szCs w:val="23"/>
          <w:lang w:val="en-GB"/>
          <w14:ligatures w14:val="none"/>
        </w:rPr>
        <w:t>University</w:t>
      </w:r>
      <w:r>
        <w:rPr>
          <w:rFonts w:ascii="Book Antiqua" w:hAnsi="Book Antiqua"/>
          <w:kern w:val="0"/>
          <w:sz w:val="23"/>
          <w:szCs w:val="23"/>
          <w:lang w:val="en-GB"/>
          <w14:ligatures w14:val="none"/>
        </w:rPr>
        <w:t>”)</w:t>
      </w:r>
      <w:r w:rsidRPr="00D939F8">
        <w:rPr>
          <w:rFonts w:ascii="Book Antiqua" w:hAnsi="Book Antiqua"/>
          <w:kern w:val="0"/>
          <w:sz w:val="23"/>
          <w:szCs w:val="23"/>
          <w:lang w:val="en-GB"/>
          <w14:ligatures w14:val="none"/>
        </w:rPr>
        <w:t xml:space="preserve"> application for injunctive relief to restrain threatened acts of trespass and nuisance </w:t>
      </w:r>
      <w:r w:rsidR="004917C9">
        <w:rPr>
          <w:rFonts w:ascii="Book Antiqua" w:hAnsi="Book Antiqua"/>
          <w:kern w:val="0"/>
          <w:sz w:val="23"/>
          <w:szCs w:val="23"/>
          <w:lang w:val="en-GB"/>
          <w14:ligatures w14:val="none"/>
        </w:rPr>
        <w:t xml:space="preserve">by the Defendants (Persons Unknown) </w:t>
      </w:r>
      <w:r>
        <w:rPr>
          <w:rFonts w:ascii="Book Antiqua" w:hAnsi="Book Antiqua"/>
          <w:kern w:val="0"/>
          <w:sz w:val="23"/>
          <w:szCs w:val="23"/>
          <w:lang w:val="en-GB"/>
          <w14:ligatures w14:val="none"/>
        </w:rPr>
        <w:t>on</w:t>
      </w:r>
      <w:r w:rsidRPr="00D939F8">
        <w:rPr>
          <w:rFonts w:ascii="Book Antiqua" w:hAnsi="Book Antiqua"/>
          <w:kern w:val="0"/>
          <w:sz w:val="23"/>
          <w:szCs w:val="23"/>
          <w:lang w:val="en-GB"/>
          <w14:ligatures w14:val="none"/>
        </w:rPr>
        <w:t xml:space="preserve"> </w:t>
      </w:r>
      <w:r w:rsidR="00BB4CF1">
        <w:rPr>
          <w:rFonts w:ascii="Book Antiqua" w:hAnsi="Book Antiqua"/>
          <w:kern w:val="0"/>
          <w:sz w:val="23"/>
          <w:szCs w:val="23"/>
          <w:lang w:val="en-GB"/>
          <w14:ligatures w14:val="none"/>
        </w:rPr>
        <w:t xml:space="preserve">two relatively small sites owned and occupied by the </w:t>
      </w:r>
      <w:r w:rsidRPr="00D939F8">
        <w:rPr>
          <w:rFonts w:ascii="Book Antiqua" w:hAnsi="Book Antiqua"/>
          <w:kern w:val="0"/>
          <w:sz w:val="23"/>
          <w:szCs w:val="23"/>
          <w:lang w:val="en-GB"/>
          <w14:ligatures w14:val="none"/>
        </w:rPr>
        <w:t>University</w:t>
      </w:r>
      <w:r w:rsidR="00BB446E">
        <w:rPr>
          <w:rFonts w:ascii="Book Antiqua" w:hAnsi="Book Antiqua"/>
          <w:kern w:val="0"/>
          <w:sz w:val="23"/>
          <w:szCs w:val="23"/>
          <w:lang w:val="en-GB"/>
          <w14:ligatures w14:val="none"/>
        </w:rPr>
        <w:t xml:space="preserve"> (the “</w:t>
      </w:r>
      <w:r w:rsidR="00BB446E">
        <w:rPr>
          <w:rFonts w:ascii="Book Antiqua" w:hAnsi="Book Antiqua"/>
          <w:b/>
          <w:bCs/>
          <w:kern w:val="0"/>
          <w:sz w:val="23"/>
          <w:szCs w:val="23"/>
          <w:lang w:val="en-GB"/>
          <w14:ligatures w14:val="none"/>
        </w:rPr>
        <w:t>Land</w:t>
      </w:r>
      <w:r w:rsidR="00BB446E">
        <w:rPr>
          <w:rFonts w:ascii="Book Antiqua" w:hAnsi="Book Antiqua"/>
          <w:kern w:val="0"/>
          <w:sz w:val="23"/>
          <w:szCs w:val="23"/>
          <w:lang w:val="en-GB"/>
          <w14:ligatures w14:val="none"/>
        </w:rPr>
        <w:t>”)</w:t>
      </w:r>
      <w:r w:rsidRPr="00D939F8">
        <w:rPr>
          <w:rFonts w:ascii="Book Antiqua" w:hAnsi="Book Antiqua"/>
          <w:kern w:val="0"/>
          <w:sz w:val="23"/>
          <w:szCs w:val="23"/>
          <w:lang w:val="en-GB"/>
          <w14:ligatures w14:val="none"/>
        </w:rPr>
        <w:t>.</w:t>
      </w:r>
    </w:p>
    <w:p w14:paraId="589D12B2" w14:textId="6507E84E" w:rsidR="00CD2922" w:rsidRPr="00CD2922" w:rsidRDefault="00064732" w:rsidP="00D939F8">
      <w:pPr>
        <w:pStyle w:val="ListParagraph"/>
        <w:numPr>
          <w:ilvl w:val="0"/>
          <w:numId w:val="3"/>
        </w:numPr>
        <w:spacing w:line="360" w:lineRule="auto"/>
        <w:ind w:left="567" w:hanging="567"/>
        <w:contextualSpacing w:val="0"/>
        <w:jc w:val="both"/>
        <w:rPr>
          <w:rFonts w:ascii="Book Antiqua" w:hAnsi="Book Antiqua"/>
          <w:sz w:val="23"/>
          <w:szCs w:val="23"/>
        </w:rPr>
      </w:pPr>
      <w:r w:rsidRPr="00C3428A">
        <w:rPr>
          <w:rFonts w:ascii="Book Antiqua" w:hAnsi="Book Antiqua"/>
          <w:kern w:val="0"/>
          <w:sz w:val="23"/>
          <w:szCs w:val="23"/>
          <w:lang w:val="en-GB"/>
          <w14:ligatures w14:val="none"/>
        </w:rPr>
        <w:t xml:space="preserve">The </w:t>
      </w:r>
      <w:r w:rsidR="00A908F3" w:rsidRPr="00C3428A">
        <w:rPr>
          <w:rFonts w:ascii="Book Antiqua" w:hAnsi="Book Antiqua"/>
          <w:kern w:val="0"/>
          <w:sz w:val="23"/>
          <w:szCs w:val="23"/>
          <w:lang w:val="en-GB"/>
          <w14:ligatures w14:val="none"/>
        </w:rPr>
        <w:t>Defendants</w:t>
      </w:r>
      <w:r w:rsidR="002D162B" w:rsidRPr="00C3428A">
        <w:rPr>
          <w:rFonts w:ascii="Book Antiqua" w:hAnsi="Book Antiqua"/>
          <w:kern w:val="0"/>
          <w:sz w:val="23"/>
          <w:szCs w:val="23"/>
          <w:lang w:val="en-GB"/>
          <w14:ligatures w14:val="none"/>
        </w:rPr>
        <w:t xml:space="preserve"> </w:t>
      </w:r>
      <w:r w:rsidR="00FA3AA7">
        <w:rPr>
          <w:rFonts w:ascii="Book Antiqua" w:hAnsi="Book Antiqua"/>
          <w:kern w:val="0"/>
          <w:sz w:val="23"/>
          <w:szCs w:val="23"/>
          <w:lang w:val="en-GB"/>
          <w14:ligatures w14:val="none"/>
        </w:rPr>
        <w:t>(or a number of them)</w:t>
      </w:r>
      <w:r w:rsidR="002D162B" w:rsidRPr="00C3428A">
        <w:rPr>
          <w:rFonts w:ascii="Book Antiqua" w:hAnsi="Book Antiqua"/>
          <w:kern w:val="0"/>
          <w:sz w:val="23"/>
          <w:szCs w:val="23"/>
          <w:lang w:val="en-GB"/>
          <w14:ligatures w14:val="none"/>
        </w:rPr>
        <w:t xml:space="preserve"> form part of a well-organised group of individuals</w:t>
      </w:r>
      <w:r w:rsidR="000C1101" w:rsidRPr="00C3428A">
        <w:rPr>
          <w:rStyle w:val="FootnoteReference"/>
          <w:rFonts w:ascii="Book Antiqua" w:hAnsi="Book Antiqua"/>
          <w:kern w:val="0"/>
          <w:sz w:val="23"/>
          <w:szCs w:val="23"/>
          <w:lang w:val="en-GB"/>
          <w14:ligatures w14:val="none"/>
        </w:rPr>
        <w:footnoteReference w:id="2"/>
      </w:r>
      <w:r w:rsidR="00C27A0A" w:rsidRPr="00C3428A">
        <w:rPr>
          <w:rFonts w:ascii="Book Antiqua" w:hAnsi="Book Antiqua"/>
          <w:kern w:val="0"/>
          <w:sz w:val="23"/>
          <w:szCs w:val="23"/>
          <w:lang w:val="en-GB"/>
          <w14:ligatures w14:val="none"/>
        </w:rPr>
        <w:t xml:space="preserve"> –</w:t>
      </w:r>
      <w:r w:rsidR="00941C83" w:rsidRPr="00C3428A">
        <w:rPr>
          <w:rFonts w:ascii="Book Antiqua" w:hAnsi="Book Antiqua"/>
          <w:kern w:val="0"/>
          <w:sz w:val="23"/>
          <w:szCs w:val="23"/>
          <w:lang w:val="en-GB"/>
          <w14:ligatures w14:val="none"/>
        </w:rPr>
        <w:t xml:space="preserve"> with strong and committed views on the Palestine-Israel conflict</w:t>
      </w:r>
      <w:r w:rsidR="00C27A0A" w:rsidRPr="00C3428A">
        <w:rPr>
          <w:rFonts w:ascii="Book Antiqua" w:hAnsi="Book Antiqua"/>
          <w:kern w:val="0"/>
          <w:sz w:val="23"/>
          <w:szCs w:val="23"/>
          <w:lang w:val="en-GB"/>
          <w14:ligatures w14:val="none"/>
        </w:rPr>
        <w:t xml:space="preserve"> –</w:t>
      </w:r>
      <w:r w:rsidR="002D162B" w:rsidRPr="00C3428A">
        <w:rPr>
          <w:rFonts w:ascii="Book Antiqua" w:hAnsi="Book Antiqua"/>
          <w:kern w:val="0"/>
          <w:sz w:val="23"/>
          <w:szCs w:val="23"/>
          <w:lang w:val="en-GB"/>
          <w14:ligatures w14:val="none"/>
        </w:rPr>
        <w:t xml:space="preserve"> </w:t>
      </w:r>
      <w:r w:rsidR="005B6BC6">
        <w:rPr>
          <w:rFonts w:ascii="Book Antiqua" w:hAnsi="Book Antiqua"/>
          <w:kern w:val="0"/>
          <w:sz w:val="23"/>
          <w:szCs w:val="23"/>
          <w:lang w:val="en-GB"/>
          <w14:ligatures w14:val="none"/>
        </w:rPr>
        <w:t xml:space="preserve">who </w:t>
      </w:r>
      <w:r w:rsidR="005B6BC6" w:rsidRPr="00C3428A">
        <w:rPr>
          <w:rFonts w:ascii="Book Antiqua" w:hAnsi="Book Antiqua"/>
          <w:sz w:val="23"/>
          <w:szCs w:val="23"/>
        </w:rPr>
        <w:t>appear to be affiliated with the group known as Cambridge for Palestine</w:t>
      </w:r>
      <w:r w:rsidR="005B6BC6">
        <w:rPr>
          <w:rFonts w:ascii="Book Antiqua" w:hAnsi="Book Antiqua"/>
          <w:sz w:val="23"/>
          <w:szCs w:val="23"/>
        </w:rPr>
        <w:t xml:space="preserve">. </w:t>
      </w:r>
      <w:r w:rsidR="00D939F8">
        <w:rPr>
          <w:rFonts w:ascii="Book Antiqua" w:hAnsi="Book Antiqua"/>
          <w:sz w:val="23"/>
          <w:szCs w:val="23"/>
        </w:rPr>
        <w:t xml:space="preserve">The </w:t>
      </w:r>
      <w:r w:rsidR="00D939F8" w:rsidRPr="00C3428A">
        <w:rPr>
          <w:rFonts w:ascii="Book Antiqua" w:hAnsi="Book Antiqua"/>
          <w:sz w:val="23"/>
          <w:szCs w:val="23"/>
        </w:rPr>
        <w:t>Cambridge for Palestine</w:t>
      </w:r>
      <w:r w:rsidR="00D939F8">
        <w:rPr>
          <w:rFonts w:ascii="Book Antiqua" w:hAnsi="Book Antiqua"/>
          <w:sz w:val="23"/>
          <w:szCs w:val="23"/>
        </w:rPr>
        <w:t xml:space="preserve"> </w:t>
      </w:r>
      <w:r w:rsidR="00F10FA5">
        <w:rPr>
          <w:rFonts w:ascii="Book Antiqua" w:hAnsi="Book Antiqua"/>
          <w:sz w:val="23"/>
          <w:szCs w:val="23"/>
        </w:rPr>
        <w:t xml:space="preserve">website states that </w:t>
      </w:r>
      <w:r w:rsidR="00F10FA5" w:rsidRPr="00F10FA5">
        <w:rPr>
          <w:rFonts w:ascii="Book Antiqua" w:hAnsi="Book Antiqua"/>
          <w:sz w:val="23"/>
          <w:szCs w:val="23"/>
        </w:rPr>
        <w:t>“</w:t>
      </w:r>
      <w:r w:rsidR="00F10FA5" w:rsidRPr="00F10FA5">
        <w:rPr>
          <w:rFonts w:ascii="Book Antiqua" w:hAnsi="Book Antiqua"/>
          <w:i/>
          <w:iCs/>
          <w:sz w:val="23"/>
          <w:szCs w:val="23"/>
        </w:rPr>
        <w:t>We are a coalition standing against Cambridge University's complicity in the genocide of and apartheid against Palestinians</w:t>
      </w:r>
      <w:r w:rsidR="00F10FA5" w:rsidRPr="00F10FA5">
        <w:rPr>
          <w:rFonts w:ascii="Book Antiqua" w:hAnsi="Book Antiqua"/>
          <w:sz w:val="23"/>
          <w:szCs w:val="23"/>
        </w:rPr>
        <w:t>.”</w:t>
      </w:r>
      <w:r w:rsidR="00D939F8">
        <w:rPr>
          <w:rFonts w:ascii="Book Antiqua" w:hAnsi="Book Antiqua"/>
          <w:sz w:val="23"/>
          <w:szCs w:val="23"/>
        </w:rPr>
        <w:t xml:space="preserve"> </w:t>
      </w:r>
      <w:r w:rsidR="001300EE">
        <w:rPr>
          <w:rFonts w:ascii="Book Antiqua" w:hAnsi="Book Antiqua"/>
          <w:sz w:val="23"/>
          <w:szCs w:val="23"/>
        </w:rPr>
        <w:t>Their methods</w:t>
      </w:r>
      <w:r w:rsidR="00D939F8">
        <w:rPr>
          <w:rFonts w:ascii="Book Antiqua" w:hAnsi="Book Antiqua"/>
          <w:sz w:val="23"/>
          <w:szCs w:val="23"/>
        </w:rPr>
        <w:t xml:space="preserve"> involve</w:t>
      </w:r>
      <w:r w:rsidR="006E53DC" w:rsidRPr="00D939F8">
        <w:rPr>
          <w:rFonts w:ascii="Book Antiqua" w:hAnsi="Book Antiqua"/>
          <w:kern w:val="0"/>
          <w:sz w:val="23"/>
          <w:szCs w:val="23"/>
          <w:lang w:val="en-GB"/>
          <w14:ligatures w14:val="none"/>
        </w:rPr>
        <w:t xml:space="preserve"> </w:t>
      </w:r>
      <w:r w:rsidR="00404738">
        <w:rPr>
          <w:rFonts w:ascii="Book Antiqua" w:hAnsi="Book Antiqua"/>
          <w:kern w:val="0"/>
          <w:sz w:val="23"/>
          <w:szCs w:val="23"/>
          <w:lang w:val="en-GB"/>
          <w14:ligatures w14:val="none"/>
        </w:rPr>
        <w:t xml:space="preserve">protests in the form of </w:t>
      </w:r>
      <w:r w:rsidR="00941C83" w:rsidRPr="00D939F8">
        <w:rPr>
          <w:rFonts w:ascii="Book Antiqua" w:hAnsi="Book Antiqua"/>
          <w:kern w:val="0"/>
          <w:sz w:val="23"/>
          <w:szCs w:val="23"/>
          <w:lang w:val="en-GB"/>
          <w14:ligatures w14:val="none"/>
        </w:rPr>
        <w:t>direct action</w:t>
      </w:r>
      <w:r w:rsidR="00C27A0A" w:rsidRPr="00D939F8">
        <w:rPr>
          <w:rFonts w:ascii="Book Antiqua" w:hAnsi="Book Antiqua"/>
          <w:kern w:val="0"/>
          <w:sz w:val="23"/>
          <w:szCs w:val="23"/>
          <w:lang w:val="en-GB"/>
          <w14:ligatures w14:val="none"/>
        </w:rPr>
        <w:t xml:space="preserve"> </w:t>
      </w:r>
      <w:r w:rsidR="00404738">
        <w:rPr>
          <w:rFonts w:ascii="Book Antiqua" w:hAnsi="Book Antiqua"/>
          <w:kern w:val="0"/>
          <w:sz w:val="23"/>
          <w:szCs w:val="23"/>
          <w:lang w:val="en-GB"/>
          <w14:ligatures w14:val="none"/>
        </w:rPr>
        <w:t>aimed at</w:t>
      </w:r>
      <w:r w:rsidR="008B648B" w:rsidRPr="00D939F8">
        <w:rPr>
          <w:rFonts w:ascii="Book Antiqua" w:hAnsi="Book Antiqua"/>
          <w:kern w:val="0"/>
          <w:sz w:val="23"/>
          <w:szCs w:val="23"/>
          <w:lang w:val="en-GB"/>
          <w14:ligatures w14:val="none"/>
        </w:rPr>
        <w:t xml:space="preserve"> the </w:t>
      </w:r>
      <w:r w:rsidR="00114CAF">
        <w:rPr>
          <w:rFonts w:ascii="Book Antiqua" w:hAnsi="Book Antiqua"/>
          <w:kern w:val="0"/>
          <w:sz w:val="23"/>
          <w:szCs w:val="23"/>
          <w:lang w:val="en-GB"/>
          <w14:ligatures w14:val="none"/>
        </w:rPr>
        <w:t>University</w:t>
      </w:r>
      <w:r w:rsidR="00992E04" w:rsidRPr="00D939F8">
        <w:rPr>
          <w:rFonts w:ascii="Book Antiqua" w:hAnsi="Book Antiqua"/>
          <w:kern w:val="0"/>
          <w:sz w:val="23"/>
          <w:szCs w:val="23"/>
          <w:lang w:val="en-GB"/>
          <w14:ligatures w14:val="none"/>
        </w:rPr>
        <w:t>.</w:t>
      </w:r>
      <w:r w:rsidR="006F6DEA" w:rsidRPr="00D939F8">
        <w:rPr>
          <w:rFonts w:ascii="Book Antiqua" w:hAnsi="Book Antiqua"/>
          <w:kern w:val="0"/>
          <w:sz w:val="23"/>
          <w:szCs w:val="23"/>
          <w:lang w:val="en-GB"/>
          <w14:ligatures w14:val="none"/>
        </w:rPr>
        <w:t xml:space="preserve"> </w:t>
      </w:r>
    </w:p>
    <w:p w14:paraId="50A07825" w14:textId="6FA55C5E" w:rsidR="00CD2922" w:rsidRPr="00C06E2D" w:rsidRDefault="00114CAF" w:rsidP="00674618">
      <w:pPr>
        <w:pStyle w:val="ListParagraph"/>
        <w:numPr>
          <w:ilvl w:val="0"/>
          <w:numId w:val="3"/>
        </w:numPr>
        <w:spacing w:line="360" w:lineRule="auto"/>
        <w:ind w:left="567" w:hanging="567"/>
        <w:contextualSpacing w:val="0"/>
        <w:jc w:val="both"/>
        <w:rPr>
          <w:rFonts w:ascii="Book Antiqua" w:hAnsi="Book Antiqua"/>
          <w:sz w:val="23"/>
          <w:szCs w:val="23"/>
        </w:rPr>
      </w:pPr>
      <w:r>
        <w:rPr>
          <w:rFonts w:ascii="Book Antiqua" w:hAnsi="Book Antiqua"/>
          <w:kern w:val="0"/>
          <w:sz w:val="23"/>
          <w:szCs w:val="23"/>
          <w:lang w:val="en-GB"/>
          <w14:ligatures w14:val="none"/>
        </w:rPr>
        <w:t>In terms of direct action</w:t>
      </w:r>
      <w:r w:rsidR="00CD2922">
        <w:rPr>
          <w:rFonts w:ascii="Book Antiqua" w:hAnsi="Book Antiqua"/>
          <w:kern w:val="0"/>
          <w:sz w:val="23"/>
          <w:szCs w:val="23"/>
          <w:lang w:val="en-GB"/>
          <w14:ligatures w14:val="none"/>
        </w:rPr>
        <w:t>, the</w:t>
      </w:r>
      <w:r w:rsidR="00674618">
        <w:rPr>
          <w:rFonts w:ascii="Book Antiqua" w:hAnsi="Book Antiqua"/>
          <w:kern w:val="0"/>
          <w:sz w:val="23"/>
          <w:szCs w:val="23"/>
          <w:lang w:val="en-GB"/>
          <w14:ligatures w14:val="none"/>
        </w:rPr>
        <w:t xml:space="preserve"> University seeks to prohibit the Defendants from</w:t>
      </w:r>
      <w:r w:rsidR="00C06E2D">
        <w:rPr>
          <w:rFonts w:ascii="Book Antiqua" w:hAnsi="Book Antiqua"/>
          <w:kern w:val="0"/>
          <w:sz w:val="23"/>
          <w:szCs w:val="23"/>
          <w:lang w:val="en-GB"/>
          <w14:ligatures w14:val="none"/>
        </w:rPr>
        <w:t xml:space="preserve"> carrying out the following acts</w:t>
      </w:r>
      <w:r w:rsidR="0019322F">
        <w:rPr>
          <w:rFonts w:ascii="Book Antiqua" w:hAnsi="Book Antiqua"/>
          <w:kern w:val="0"/>
          <w:sz w:val="23"/>
          <w:szCs w:val="23"/>
          <w:lang w:val="en-GB"/>
          <w14:ligatures w14:val="none"/>
        </w:rPr>
        <w:t>,</w:t>
      </w:r>
      <w:r w:rsidR="00C06E2D">
        <w:rPr>
          <w:rFonts w:ascii="Book Antiqua" w:hAnsi="Book Antiqua"/>
          <w:kern w:val="0"/>
          <w:sz w:val="23"/>
          <w:szCs w:val="23"/>
          <w:lang w:val="en-GB"/>
          <w14:ligatures w14:val="none"/>
        </w:rPr>
        <w:t xml:space="preserve"> without its consent: </w:t>
      </w:r>
      <w:r w:rsidR="00674618" w:rsidRPr="00C06E2D">
        <w:rPr>
          <w:rFonts w:ascii="Book Antiqua" w:hAnsi="Book Antiqua"/>
          <w:sz w:val="23"/>
          <w:szCs w:val="23"/>
        </w:rPr>
        <w:t>(1) enter</w:t>
      </w:r>
      <w:r w:rsidR="00C06E2D">
        <w:rPr>
          <w:rFonts w:ascii="Book Antiqua" w:hAnsi="Book Antiqua"/>
          <w:sz w:val="23"/>
          <w:szCs w:val="23"/>
        </w:rPr>
        <w:t>ing</w:t>
      </w:r>
      <w:r w:rsidR="00674618" w:rsidRPr="00C06E2D">
        <w:rPr>
          <w:rFonts w:ascii="Book Antiqua" w:hAnsi="Book Antiqua"/>
          <w:sz w:val="23"/>
          <w:szCs w:val="23"/>
        </w:rPr>
        <w:t>, occupy</w:t>
      </w:r>
      <w:r w:rsidR="00C06E2D">
        <w:rPr>
          <w:rFonts w:ascii="Book Antiqua" w:hAnsi="Book Antiqua"/>
          <w:sz w:val="23"/>
          <w:szCs w:val="23"/>
        </w:rPr>
        <w:t>ing</w:t>
      </w:r>
      <w:r w:rsidR="00674618" w:rsidRPr="00C06E2D">
        <w:rPr>
          <w:rFonts w:ascii="Book Antiqua" w:hAnsi="Book Antiqua"/>
          <w:sz w:val="23"/>
          <w:szCs w:val="23"/>
        </w:rPr>
        <w:t xml:space="preserve"> or remain</w:t>
      </w:r>
      <w:r w:rsidR="00C06E2D">
        <w:rPr>
          <w:rFonts w:ascii="Book Antiqua" w:hAnsi="Book Antiqua"/>
          <w:sz w:val="23"/>
          <w:szCs w:val="23"/>
        </w:rPr>
        <w:t>ing</w:t>
      </w:r>
      <w:r w:rsidR="00674618" w:rsidRPr="00C06E2D">
        <w:rPr>
          <w:rFonts w:ascii="Book Antiqua" w:hAnsi="Book Antiqua"/>
          <w:sz w:val="23"/>
          <w:szCs w:val="23"/>
        </w:rPr>
        <w:t xml:space="preserve"> upon the </w:t>
      </w:r>
      <w:r w:rsidR="00710B6A">
        <w:rPr>
          <w:rFonts w:ascii="Book Antiqua" w:hAnsi="Book Antiqua"/>
          <w:sz w:val="23"/>
          <w:szCs w:val="23"/>
        </w:rPr>
        <w:t>L</w:t>
      </w:r>
      <w:r w:rsidR="00674618" w:rsidRPr="00C06E2D">
        <w:rPr>
          <w:rFonts w:ascii="Book Antiqua" w:hAnsi="Book Antiqua"/>
          <w:sz w:val="23"/>
          <w:szCs w:val="23"/>
        </w:rPr>
        <w:t xml:space="preserve">and; (2) </w:t>
      </w:r>
      <w:r w:rsidR="0013517E" w:rsidRPr="0013517E">
        <w:rPr>
          <w:rFonts w:ascii="Book Antiqua" w:hAnsi="Book Antiqua"/>
          <w:sz w:val="23"/>
          <w:szCs w:val="23"/>
        </w:rPr>
        <w:t>directly block</w:t>
      </w:r>
      <w:r w:rsidR="00260ABB">
        <w:rPr>
          <w:rFonts w:ascii="Book Antiqua" w:hAnsi="Book Antiqua"/>
          <w:sz w:val="23"/>
          <w:szCs w:val="23"/>
        </w:rPr>
        <w:t>ing</w:t>
      </w:r>
      <w:r w:rsidR="0013517E" w:rsidRPr="0013517E">
        <w:rPr>
          <w:rFonts w:ascii="Book Antiqua" w:hAnsi="Book Antiqua"/>
          <w:sz w:val="23"/>
          <w:szCs w:val="23"/>
        </w:rPr>
        <w:t xml:space="preserve"> the access of any individual to the Land with the intention of stopping that individual accessing the Land</w:t>
      </w:r>
      <w:r w:rsidR="00674618" w:rsidRPr="00C06E2D">
        <w:rPr>
          <w:rFonts w:ascii="Book Antiqua" w:hAnsi="Book Antiqua"/>
          <w:sz w:val="23"/>
          <w:szCs w:val="23"/>
        </w:rPr>
        <w:t>; or, (3) erect</w:t>
      </w:r>
      <w:r w:rsidR="00C06E2D">
        <w:rPr>
          <w:rFonts w:ascii="Book Antiqua" w:hAnsi="Book Antiqua"/>
          <w:sz w:val="23"/>
          <w:szCs w:val="23"/>
        </w:rPr>
        <w:t>ing</w:t>
      </w:r>
      <w:r w:rsidR="00674618" w:rsidRPr="00C06E2D">
        <w:rPr>
          <w:rFonts w:ascii="Book Antiqua" w:hAnsi="Book Antiqua"/>
          <w:sz w:val="23"/>
          <w:szCs w:val="23"/>
        </w:rPr>
        <w:t xml:space="preserve"> or plac</w:t>
      </w:r>
      <w:r w:rsidR="00C06E2D">
        <w:rPr>
          <w:rFonts w:ascii="Book Antiqua" w:hAnsi="Book Antiqua"/>
          <w:sz w:val="23"/>
          <w:szCs w:val="23"/>
        </w:rPr>
        <w:t>ing</w:t>
      </w:r>
      <w:r w:rsidR="00674618" w:rsidRPr="00C06E2D">
        <w:rPr>
          <w:rFonts w:ascii="Book Antiqua" w:hAnsi="Book Antiqua"/>
          <w:sz w:val="23"/>
          <w:szCs w:val="23"/>
        </w:rPr>
        <w:t xml:space="preserve"> any structure (including, for example, tents or other sleeping equipment) on the </w:t>
      </w:r>
      <w:r w:rsidR="00BB446E">
        <w:rPr>
          <w:rFonts w:ascii="Book Antiqua" w:hAnsi="Book Antiqua"/>
          <w:sz w:val="23"/>
          <w:szCs w:val="23"/>
        </w:rPr>
        <w:t>L</w:t>
      </w:r>
      <w:r w:rsidR="00674618" w:rsidRPr="00C06E2D">
        <w:rPr>
          <w:rFonts w:ascii="Book Antiqua" w:hAnsi="Book Antiqua"/>
          <w:sz w:val="23"/>
          <w:szCs w:val="23"/>
        </w:rPr>
        <w:t xml:space="preserve">and, </w:t>
      </w:r>
      <w:r w:rsidR="001300EE">
        <w:rPr>
          <w:rFonts w:ascii="Book Antiqua" w:hAnsi="Book Antiqua"/>
          <w:sz w:val="23"/>
          <w:szCs w:val="23"/>
        </w:rPr>
        <w:t>(the “</w:t>
      </w:r>
      <w:r w:rsidR="001300EE">
        <w:rPr>
          <w:rFonts w:ascii="Book Antiqua" w:hAnsi="Book Antiqua"/>
          <w:b/>
          <w:bCs/>
          <w:sz w:val="23"/>
          <w:szCs w:val="23"/>
        </w:rPr>
        <w:t>Direct Action</w:t>
      </w:r>
      <w:r w:rsidR="001300EE">
        <w:rPr>
          <w:rFonts w:ascii="Book Antiqua" w:hAnsi="Book Antiqua"/>
          <w:sz w:val="23"/>
          <w:szCs w:val="23"/>
        </w:rPr>
        <w:t>”)</w:t>
      </w:r>
      <w:r w:rsidR="00674618" w:rsidRPr="00C06E2D">
        <w:rPr>
          <w:rFonts w:ascii="Book Antiqua" w:hAnsi="Book Antiqua"/>
          <w:sz w:val="23"/>
          <w:szCs w:val="23"/>
        </w:rPr>
        <w:t>.</w:t>
      </w:r>
      <w:r w:rsidR="00CD2922" w:rsidRPr="00C06E2D">
        <w:rPr>
          <w:rFonts w:ascii="Book Antiqua" w:hAnsi="Book Antiqua"/>
          <w:kern w:val="0"/>
          <w:sz w:val="23"/>
          <w:szCs w:val="23"/>
          <w:lang w:val="en-GB"/>
          <w14:ligatures w14:val="none"/>
        </w:rPr>
        <w:t xml:space="preserve"> </w:t>
      </w:r>
    </w:p>
    <w:p w14:paraId="649764EC" w14:textId="3835237C" w:rsidR="00E7359C" w:rsidRDefault="008663B5" w:rsidP="00D939F8">
      <w:pPr>
        <w:pStyle w:val="ListParagraph"/>
        <w:numPr>
          <w:ilvl w:val="0"/>
          <w:numId w:val="3"/>
        </w:numPr>
        <w:spacing w:line="360" w:lineRule="auto"/>
        <w:ind w:left="567" w:hanging="567"/>
        <w:contextualSpacing w:val="0"/>
        <w:jc w:val="both"/>
        <w:rPr>
          <w:rFonts w:ascii="Book Antiqua" w:hAnsi="Book Antiqua"/>
          <w:sz w:val="23"/>
          <w:szCs w:val="23"/>
        </w:rPr>
      </w:pPr>
      <w:r>
        <w:rPr>
          <w:rFonts w:ascii="Book Antiqua" w:hAnsi="Book Antiqua"/>
          <w:kern w:val="0"/>
          <w:sz w:val="23"/>
          <w:szCs w:val="23"/>
          <w:lang w:val="en-GB"/>
          <w14:ligatures w14:val="none"/>
        </w:rPr>
        <w:t>This claim</w:t>
      </w:r>
      <w:r w:rsidR="00552615">
        <w:rPr>
          <w:rFonts w:ascii="Book Antiqua" w:hAnsi="Book Antiqua"/>
          <w:kern w:val="0"/>
          <w:sz w:val="23"/>
          <w:szCs w:val="23"/>
          <w:lang w:val="en-GB"/>
          <w14:ligatures w14:val="none"/>
        </w:rPr>
        <w:t xml:space="preserve"> is similar to the recent case of </w:t>
      </w:r>
      <w:r w:rsidR="00552615">
        <w:rPr>
          <w:rFonts w:ascii="Book Antiqua" w:hAnsi="Book Antiqua"/>
          <w:sz w:val="23"/>
          <w:szCs w:val="23"/>
          <w:u w:val="single"/>
        </w:rPr>
        <w:t>University of London v Persons Unknown</w:t>
      </w:r>
      <w:r w:rsidR="00552615" w:rsidRPr="00B36218">
        <w:rPr>
          <w:rFonts w:ascii="Book Antiqua" w:hAnsi="Book Antiqua"/>
          <w:sz w:val="23"/>
          <w:szCs w:val="23"/>
        </w:rPr>
        <w:t xml:space="preserve"> </w:t>
      </w:r>
      <w:r w:rsidR="00552615">
        <w:rPr>
          <w:rFonts w:ascii="Book Antiqua" w:hAnsi="Book Antiqua"/>
          <w:sz w:val="23"/>
          <w:szCs w:val="23"/>
        </w:rPr>
        <w:t>[2024] EWHC 2895 (Ch)</w:t>
      </w:r>
      <w:r w:rsidR="00FD50FE">
        <w:rPr>
          <w:rFonts w:ascii="Book Antiqua" w:hAnsi="Book Antiqua"/>
          <w:sz w:val="23"/>
          <w:szCs w:val="23"/>
        </w:rPr>
        <w:t xml:space="preserve"> (25 November 2024)</w:t>
      </w:r>
      <w:r w:rsidR="00552615">
        <w:rPr>
          <w:rFonts w:ascii="Book Antiqua" w:hAnsi="Book Antiqua"/>
          <w:sz w:val="23"/>
          <w:szCs w:val="23"/>
        </w:rPr>
        <w:t>, where injunctive relief was sought and obtained against student protestors</w:t>
      </w:r>
      <w:r w:rsidR="00076E49">
        <w:rPr>
          <w:rFonts w:ascii="Book Antiqua" w:hAnsi="Book Antiqua"/>
          <w:sz w:val="23"/>
          <w:szCs w:val="23"/>
        </w:rPr>
        <w:t xml:space="preserve"> taking direct action on </w:t>
      </w:r>
      <w:r w:rsidR="005F7736">
        <w:rPr>
          <w:rFonts w:ascii="Book Antiqua" w:hAnsi="Book Antiqua"/>
          <w:sz w:val="23"/>
          <w:szCs w:val="23"/>
        </w:rPr>
        <w:t>related</w:t>
      </w:r>
      <w:r w:rsidR="00076E49">
        <w:rPr>
          <w:rFonts w:ascii="Book Antiqua" w:hAnsi="Book Antiqua"/>
          <w:sz w:val="23"/>
          <w:szCs w:val="23"/>
        </w:rPr>
        <w:t xml:space="preserve"> grounds</w:t>
      </w:r>
      <w:r w:rsidR="00497773">
        <w:rPr>
          <w:rFonts w:ascii="Book Antiqua" w:hAnsi="Book Antiqua"/>
          <w:sz w:val="23"/>
          <w:szCs w:val="23"/>
        </w:rPr>
        <w:t xml:space="preserve"> </w:t>
      </w:r>
      <w:r w:rsidR="00497773">
        <w:rPr>
          <w:rFonts w:ascii="Book Antiqua" w:hAnsi="Book Antiqua"/>
          <w:b/>
          <w:bCs/>
          <w:sz w:val="23"/>
          <w:szCs w:val="23"/>
        </w:rPr>
        <w:t>[AB/</w:t>
      </w:r>
      <w:r w:rsidR="00E53B4E">
        <w:rPr>
          <w:rFonts w:ascii="Book Antiqua" w:hAnsi="Book Antiqua"/>
          <w:b/>
          <w:bCs/>
          <w:sz w:val="23"/>
          <w:szCs w:val="23"/>
        </w:rPr>
        <w:t>14/407]</w:t>
      </w:r>
      <w:r w:rsidR="00076E49">
        <w:rPr>
          <w:rFonts w:ascii="Book Antiqua" w:hAnsi="Book Antiqua"/>
          <w:sz w:val="23"/>
          <w:szCs w:val="23"/>
        </w:rPr>
        <w:t>.</w:t>
      </w:r>
      <w:r w:rsidR="00552615">
        <w:rPr>
          <w:rFonts w:ascii="Book Antiqua" w:hAnsi="Book Antiqua"/>
          <w:sz w:val="23"/>
          <w:szCs w:val="23"/>
        </w:rPr>
        <w:t xml:space="preserve"> </w:t>
      </w:r>
    </w:p>
    <w:p w14:paraId="76BA0161" w14:textId="233F6343" w:rsidR="00E45D2C" w:rsidRDefault="00D92834" w:rsidP="00D939F8">
      <w:pPr>
        <w:pStyle w:val="ListParagraph"/>
        <w:numPr>
          <w:ilvl w:val="0"/>
          <w:numId w:val="3"/>
        </w:numPr>
        <w:spacing w:line="360" w:lineRule="auto"/>
        <w:ind w:left="567" w:hanging="567"/>
        <w:contextualSpacing w:val="0"/>
        <w:jc w:val="both"/>
        <w:rPr>
          <w:rFonts w:ascii="Book Antiqua" w:hAnsi="Book Antiqua"/>
          <w:sz w:val="23"/>
          <w:szCs w:val="23"/>
        </w:rPr>
      </w:pPr>
      <w:r>
        <w:rPr>
          <w:rFonts w:ascii="Book Antiqua" w:hAnsi="Book Antiqua"/>
          <w:sz w:val="23"/>
          <w:szCs w:val="23"/>
        </w:rPr>
        <w:t>Following the first hearing of this application on 27 February 2025, Fordham J</w:t>
      </w:r>
      <w:r w:rsidR="00441B8A">
        <w:rPr>
          <w:rFonts w:ascii="Book Antiqua" w:hAnsi="Book Antiqua"/>
          <w:sz w:val="23"/>
          <w:szCs w:val="23"/>
        </w:rPr>
        <w:t xml:space="preserve">, </w:t>
      </w:r>
      <w:r w:rsidR="00441B8A">
        <w:rPr>
          <w:rFonts w:ascii="Book Antiqua" w:hAnsi="Book Antiqua"/>
          <w:i/>
          <w:iCs/>
          <w:sz w:val="23"/>
          <w:szCs w:val="23"/>
        </w:rPr>
        <w:t>inter alia</w:t>
      </w:r>
      <w:r w:rsidR="00315332">
        <w:rPr>
          <w:rFonts w:ascii="Book Antiqua" w:hAnsi="Book Antiqua"/>
          <w:sz w:val="23"/>
          <w:szCs w:val="23"/>
        </w:rPr>
        <w:t>: (1)</w:t>
      </w:r>
      <w:r>
        <w:rPr>
          <w:rFonts w:ascii="Book Antiqua" w:hAnsi="Book Antiqua"/>
          <w:sz w:val="23"/>
          <w:szCs w:val="23"/>
        </w:rPr>
        <w:t xml:space="preserve"> granted </w:t>
      </w:r>
      <w:r w:rsidR="00315332">
        <w:rPr>
          <w:rFonts w:ascii="Book Antiqua" w:hAnsi="Book Antiqua"/>
          <w:sz w:val="23"/>
          <w:szCs w:val="23"/>
        </w:rPr>
        <w:t>an interim injunction covering Senate House and Senate House Yard in relation to the graduation ceremony taking place on 1 March 2025</w:t>
      </w:r>
      <w:r w:rsidR="007041EC">
        <w:rPr>
          <w:rFonts w:ascii="Book Antiqua" w:hAnsi="Book Antiqua"/>
          <w:sz w:val="23"/>
          <w:szCs w:val="23"/>
        </w:rPr>
        <w:t>; and, (2) otherwise adjourned the application</w:t>
      </w:r>
      <w:r w:rsidR="001C2065">
        <w:rPr>
          <w:rFonts w:ascii="Book Antiqua" w:hAnsi="Book Antiqua"/>
          <w:sz w:val="23"/>
          <w:szCs w:val="23"/>
        </w:rPr>
        <w:t xml:space="preserve"> for further consideration at a return hearing</w:t>
      </w:r>
      <w:r w:rsidR="00441B8A">
        <w:rPr>
          <w:rFonts w:ascii="Book Antiqua" w:hAnsi="Book Antiqua"/>
          <w:sz w:val="23"/>
          <w:szCs w:val="23"/>
        </w:rPr>
        <w:t xml:space="preserve"> (the “</w:t>
      </w:r>
      <w:r w:rsidR="00441B8A">
        <w:rPr>
          <w:rFonts w:ascii="Book Antiqua" w:hAnsi="Book Antiqua"/>
          <w:b/>
          <w:bCs/>
          <w:sz w:val="23"/>
          <w:szCs w:val="23"/>
        </w:rPr>
        <w:t>Fordham Order</w:t>
      </w:r>
      <w:r w:rsidR="00441B8A">
        <w:rPr>
          <w:rFonts w:ascii="Book Antiqua" w:hAnsi="Book Antiqua"/>
          <w:sz w:val="23"/>
          <w:szCs w:val="23"/>
        </w:rPr>
        <w:t>”)</w:t>
      </w:r>
      <w:r w:rsidR="001C2065">
        <w:rPr>
          <w:rFonts w:ascii="Book Antiqua" w:hAnsi="Book Antiqua"/>
          <w:sz w:val="23"/>
          <w:szCs w:val="23"/>
        </w:rPr>
        <w:t xml:space="preserve">. </w:t>
      </w:r>
      <w:r w:rsidR="00785233">
        <w:rPr>
          <w:rFonts w:ascii="Book Antiqua" w:hAnsi="Book Antiqua"/>
          <w:sz w:val="23"/>
          <w:szCs w:val="23"/>
        </w:rPr>
        <w:t xml:space="preserve">The hearing on 19 March 2025 is that return hearing. </w:t>
      </w:r>
    </w:p>
    <w:p w14:paraId="4C04BC22" w14:textId="21B7FA19" w:rsidR="00A11D34" w:rsidRDefault="00A11D34" w:rsidP="00D939F8">
      <w:pPr>
        <w:pStyle w:val="ListParagraph"/>
        <w:numPr>
          <w:ilvl w:val="0"/>
          <w:numId w:val="3"/>
        </w:numPr>
        <w:spacing w:line="360" w:lineRule="auto"/>
        <w:ind w:left="567" w:hanging="567"/>
        <w:contextualSpacing w:val="0"/>
        <w:jc w:val="both"/>
        <w:rPr>
          <w:rFonts w:ascii="Book Antiqua" w:hAnsi="Book Antiqua"/>
          <w:sz w:val="23"/>
          <w:szCs w:val="23"/>
        </w:rPr>
      </w:pPr>
      <w:r>
        <w:rPr>
          <w:rFonts w:ascii="Book Antiqua" w:hAnsi="Book Antiqua"/>
          <w:sz w:val="23"/>
          <w:szCs w:val="23"/>
        </w:rPr>
        <w:t xml:space="preserve">The Claimant </w:t>
      </w:r>
      <w:r w:rsidR="00A61C71">
        <w:rPr>
          <w:rFonts w:ascii="Book Antiqua" w:hAnsi="Book Antiqua"/>
          <w:sz w:val="23"/>
          <w:szCs w:val="23"/>
        </w:rPr>
        <w:t xml:space="preserve">now seeks a narrower form of relief as compared to the draft order originally </w:t>
      </w:r>
      <w:r w:rsidR="00962707">
        <w:rPr>
          <w:rFonts w:ascii="Book Antiqua" w:hAnsi="Book Antiqua"/>
          <w:sz w:val="23"/>
          <w:szCs w:val="23"/>
        </w:rPr>
        <w:t>attached to the application. In particular:</w:t>
      </w:r>
    </w:p>
    <w:p w14:paraId="53E935F5" w14:textId="3A0536FF" w:rsidR="00E20F3B" w:rsidRDefault="00962707" w:rsidP="00E20F3B">
      <w:pPr>
        <w:pStyle w:val="ListParagraph"/>
        <w:numPr>
          <w:ilvl w:val="1"/>
          <w:numId w:val="3"/>
        </w:numPr>
        <w:spacing w:line="360" w:lineRule="auto"/>
        <w:ind w:left="1701" w:hanging="567"/>
        <w:contextualSpacing w:val="0"/>
        <w:jc w:val="both"/>
        <w:rPr>
          <w:rFonts w:ascii="Book Antiqua" w:hAnsi="Book Antiqua"/>
          <w:sz w:val="23"/>
          <w:szCs w:val="23"/>
        </w:rPr>
      </w:pPr>
      <w:r>
        <w:rPr>
          <w:rFonts w:ascii="Book Antiqua" w:hAnsi="Book Antiqua"/>
          <w:sz w:val="23"/>
          <w:szCs w:val="23"/>
        </w:rPr>
        <w:lastRenderedPageBreak/>
        <w:t>At this stage, it see</w:t>
      </w:r>
      <w:r w:rsidR="00E47A4F">
        <w:rPr>
          <w:rFonts w:ascii="Book Antiqua" w:hAnsi="Book Antiqua"/>
          <w:sz w:val="23"/>
          <w:szCs w:val="23"/>
        </w:rPr>
        <w:t>k</w:t>
      </w:r>
      <w:r>
        <w:rPr>
          <w:rFonts w:ascii="Book Antiqua" w:hAnsi="Book Antiqua"/>
          <w:sz w:val="23"/>
          <w:szCs w:val="23"/>
        </w:rPr>
        <w:t xml:space="preserve">s relief </w:t>
      </w:r>
      <w:r w:rsidR="00E20F3B">
        <w:rPr>
          <w:rFonts w:ascii="Book Antiqua" w:hAnsi="Book Antiqua"/>
          <w:sz w:val="23"/>
          <w:szCs w:val="23"/>
        </w:rPr>
        <w:t>for approximately 4 months, expiring on 26 July 2025</w:t>
      </w:r>
      <w:r w:rsidR="00C916DD">
        <w:rPr>
          <w:rFonts w:ascii="Book Antiqua" w:hAnsi="Book Antiqua"/>
          <w:sz w:val="23"/>
          <w:szCs w:val="23"/>
        </w:rPr>
        <w:t xml:space="preserve"> (the final graduation ceremony of the academic year)</w:t>
      </w:r>
      <w:r w:rsidR="00E20F3B">
        <w:rPr>
          <w:rFonts w:ascii="Book Antiqua" w:hAnsi="Book Antiqua"/>
          <w:sz w:val="23"/>
          <w:szCs w:val="23"/>
        </w:rPr>
        <w:t>.</w:t>
      </w:r>
    </w:p>
    <w:p w14:paraId="53B91F05" w14:textId="5283B1A2" w:rsidR="00E47A4F" w:rsidRDefault="00E20F3B" w:rsidP="00E20F3B">
      <w:pPr>
        <w:pStyle w:val="ListParagraph"/>
        <w:numPr>
          <w:ilvl w:val="1"/>
          <w:numId w:val="3"/>
        </w:numPr>
        <w:spacing w:line="360" w:lineRule="auto"/>
        <w:ind w:left="1701" w:hanging="567"/>
        <w:contextualSpacing w:val="0"/>
        <w:jc w:val="both"/>
        <w:rPr>
          <w:rFonts w:ascii="Book Antiqua" w:hAnsi="Book Antiqua"/>
          <w:sz w:val="23"/>
          <w:szCs w:val="23"/>
        </w:rPr>
      </w:pPr>
      <w:r>
        <w:rPr>
          <w:rFonts w:ascii="Book Antiqua" w:hAnsi="Book Antiqua"/>
          <w:sz w:val="23"/>
          <w:szCs w:val="23"/>
        </w:rPr>
        <w:t xml:space="preserve">It </w:t>
      </w:r>
      <w:r w:rsidR="001C075D">
        <w:rPr>
          <w:rFonts w:ascii="Book Antiqua" w:hAnsi="Book Antiqua"/>
          <w:sz w:val="23"/>
          <w:szCs w:val="23"/>
        </w:rPr>
        <w:t>has narrowed down the prohibition contained at paragraph 2 of the draft order</w:t>
      </w:r>
      <w:r w:rsidR="00B45385">
        <w:rPr>
          <w:rFonts w:ascii="Book Antiqua" w:hAnsi="Book Antiqua"/>
          <w:sz w:val="23"/>
          <w:szCs w:val="23"/>
        </w:rPr>
        <w:t xml:space="preserve"> to </w:t>
      </w:r>
      <w:r w:rsidR="00FE18F1" w:rsidRPr="00FE18F1">
        <w:rPr>
          <w:rFonts w:ascii="Book Antiqua" w:hAnsi="Book Antiqua"/>
          <w:sz w:val="23"/>
          <w:szCs w:val="23"/>
        </w:rPr>
        <w:t xml:space="preserve">directly </w:t>
      </w:r>
      <w:r w:rsidR="00BB7E4F">
        <w:rPr>
          <w:rFonts w:ascii="Book Antiqua" w:hAnsi="Book Antiqua"/>
          <w:sz w:val="23"/>
          <w:szCs w:val="23"/>
        </w:rPr>
        <w:t xml:space="preserve">and intentionally </w:t>
      </w:r>
      <w:r w:rsidR="00FE18F1" w:rsidRPr="00FE18F1">
        <w:rPr>
          <w:rFonts w:ascii="Book Antiqua" w:hAnsi="Book Antiqua"/>
          <w:sz w:val="23"/>
          <w:szCs w:val="23"/>
        </w:rPr>
        <w:t>blocking the access of any individual to the Land</w:t>
      </w:r>
      <w:r w:rsidR="001C075D">
        <w:rPr>
          <w:rFonts w:ascii="Book Antiqua" w:hAnsi="Book Antiqua"/>
          <w:sz w:val="23"/>
          <w:szCs w:val="23"/>
        </w:rPr>
        <w:t>.</w:t>
      </w:r>
    </w:p>
    <w:p w14:paraId="21C3C856" w14:textId="143730B6" w:rsidR="003413CD" w:rsidRDefault="007D48E4" w:rsidP="007D48E4">
      <w:pPr>
        <w:pStyle w:val="ListParagraph"/>
        <w:numPr>
          <w:ilvl w:val="0"/>
          <w:numId w:val="3"/>
        </w:numPr>
        <w:spacing w:line="360" w:lineRule="auto"/>
        <w:ind w:left="567" w:hanging="567"/>
        <w:jc w:val="both"/>
        <w:rPr>
          <w:rFonts w:ascii="Book Antiqua" w:hAnsi="Book Antiqua"/>
          <w:sz w:val="23"/>
          <w:szCs w:val="23"/>
        </w:rPr>
      </w:pPr>
      <w:r>
        <w:rPr>
          <w:rFonts w:ascii="Book Antiqua" w:hAnsi="Book Antiqua"/>
          <w:sz w:val="23"/>
          <w:szCs w:val="23"/>
        </w:rPr>
        <w:t xml:space="preserve">In addition, </w:t>
      </w:r>
      <w:r w:rsidR="00B40CCF">
        <w:rPr>
          <w:rFonts w:ascii="Book Antiqua" w:hAnsi="Book Antiqua"/>
          <w:sz w:val="23"/>
          <w:szCs w:val="23"/>
        </w:rPr>
        <w:t xml:space="preserve">by its application dated 13 March 2025, the Claimant </w:t>
      </w:r>
      <w:r w:rsidR="00BE4807">
        <w:rPr>
          <w:rFonts w:ascii="Book Antiqua" w:hAnsi="Book Antiqua"/>
          <w:sz w:val="23"/>
          <w:szCs w:val="23"/>
        </w:rPr>
        <w:t xml:space="preserve">will invite the Court to adopt the </w:t>
      </w:r>
      <w:r w:rsidR="0025604C">
        <w:rPr>
          <w:rFonts w:ascii="Book Antiqua" w:hAnsi="Book Antiqua"/>
          <w:sz w:val="23"/>
          <w:szCs w:val="23"/>
        </w:rPr>
        <w:t>simpl</w:t>
      </w:r>
      <w:r w:rsidR="005536FD">
        <w:rPr>
          <w:rFonts w:ascii="Book Antiqua" w:hAnsi="Book Antiqua"/>
          <w:sz w:val="23"/>
          <w:szCs w:val="23"/>
        </w:rPr>
        <w:t>ified</w:t>
      </w:r>
      <w:r w:rsidR="0025604C">
        <w:rPr>
          <w:rFonts w:ascii="Book Antiqua" w:hAnsi="Book Antiqua"/>
          <w:sz w:val="23"/>
          <w:szCs w:val="23"/>
        </w:rPr>
        <w:t xml:space="preserve"> </w:t>
      </w:r>
      <w:r w:rsidR="00E5061E">
        <w:rPr>
          <w:rFonts w:ascii="Book Antiqua" w:hAnsi="Book Antiqua"/>
          <w:sz w:val="23"/>
          <w:szCs w:val="23"/>
        </w:rPr>
        <w:t xml:space="preserve">description of the Defendants to “Persons Unknown” </w:t>
      </w:r>
      <w:r w:rsidR="00E5061E" w:rsidRPr="007D48E4">
        <w:rPr>
          <w:rFonts w:ascii="Book Antiqua" w:hAnsi="Book Antiqua"/>
          <w:sz w:val="23"/>
          <w:szCs w:val="23"/>
        </w:rPr>
        <w:t xml:space="preserve">to accord with the approach taken </w:t>
      </w:r>
      <w:r w:rsidR="009B396A">
        <w:rPr>
          <w:rFonts w:ascii="Book Antiqua" w:hAnsi="Book Antiqua"/>
          <w:sz w:val="23"/>
          <w:szCs w:val="23"/>
        </w:rPr>
        <w:t xml:space="preserve">in respect of ‘newcomers’ </w:t>
      </w:r>
      <w:r w:rsidR="00E5061E" w:rsidRPr="007D48E4">
        <w:rPr>
          <w:rFonts w:ascii="Book Antiqua" w:hAnsi="Book Antiqua"/>
          <w:sz w:val="23"/>
          <w:szCs w:val="23"/>
        </w:rPr>
        <w:t xml:space="preserve">by </w:t>
      </w:r>
      <w:r w:rsidR="0025604C">
        <w:rPr>
          <w:rFonts w:ascii="Book Antiqua" w:hAnsi="Book Antiqua"/>
          <w:sz w:val="23"/>
          <w:szCs w:val="23"/>
        </w:rPr>
        <w:t xml:space="preserve">Nicklin J in </w:t>
      </w:r>
      <w:r w:rsidR="00927523" w:rsidRPr="00C553CA">
        <w:rPr>
          <w:rFonts w:ascii="Book Antiqua" w:hAnsi="Book Antiqua"/>
          <w:sz w:val="23"/>
          <w:szCs w:val="23"/>
          <w:u w:val="single"/>
        </w:rPr>
        <w:t>MBR Acres</w:t>
      </w:r>
      <w:r w:rsidR="006A141F" w:rsidRPr="00C553CA">
        <w:rPr>
          <w:rFonts w:ascii="Book Antiqua" w:hAnsi="Book Antiqua"/>
          <w:sz w:val="23"/>
          <w:szCs w:val="23"/>
          <w:u w:val="single"/>
        </w:rPr>
        <w:t xml:space="preserve"> v Curtin</w:t>
      </w:r>
      <w:r w:rsidR="006A141F">
        <w:rPr>
          <w:rFonts w:ascii="Book Antiqua" w:hAnsi="Book Antiqua"/>
          <w:i/>
          <w:iCs/>
          <w:sz w:val="23"/>
          <w:szCs w:val="23"/>
        </w:rPr>
        <w:t xml:space="preserve"> </w:t>
      </w:r>
      <w:r w:rsidR="009A1E81">
        <w:rPr>
          <w:rFonts w:ascii="Book Antiqua" w:hAnsi="Book Antiqua"/>
          <w:sz w:val="23"/>
          <w:szCs w:val="23"/>
        </w:rPr>
        <w:t>[2025] EWHC 331</w:t>
      </w:r>
      <w:r w:rsidR="00927523">
        <w:rPr>
          <w:rFonts w:ascii="Book Antiqua" w:hAnsi="Book Antiqua"/>
          <w:i/>
          <w:iCs/>
          <w:sz w:val="23"/>
          <w:szCs w:val="23"/>
        </w:rPr>
        <w:t xml:space="preserve"> </w:t>
      </w:r>
      <w:r w:rsidR="00927523">
        <w:rPr>
          <w:rFonts w:ascii="Book Antiqua" w:hAnsi="Book Antiqua"/>
          <w:sz w:val="23"/>
          <w:szCs w:val="23"/>
        </w:rPr>
        <w:t xml:space="preserve">at </w:t>
      </w:r>
      <w:r w:rsidR="003413CD">
        <w:rPr>
          <w:rFonts w:ascii="Book Antiqua" w:hAnsi="Book Antiqua"/>
          <w:sz w:val="23"/>
          <w:szCs w:val="23"/>
        </w:rPr>
        <w:t>§</w:t>
      </w:r>
      <w:r w:rsidR="00927523">
        <w:rPr>
          <w:rFonts w:ascii="Book Antiqua" w:hAnsi="Book Antiqua"/>
          <w:sz w:val="23"/>
          <w:szCs w:val="23"/>
        </w:rPr>
        <w:t xml:space="preserve">353- </w:t>
      </w:r>
      <w:r w:rsidR="00397B7F">
        <w:rPr>
          <w:rFonts w:ascii="Book Antiqua" w:hAnsi="Book Antiqua"/>
          <w:sz w:val="23"/>
          <w:szCs w:val="23"/>
        </w:rPr>
        <w:t>362</w:t>
      </w:r>
      <w:r w:rsidR="009A1E81">
        <w:rPr>
          <w:rFonts w:ascii="Book Antiqua" w:hAnsi="Book Antiqua"/>
          <w:sz w:val="23"/>
          <w:szCs w:val="23"/>
        </w:rPr>
        <w:t xml:space="preserve"> [</w:t>
      </w:r>
      <w:r w:rsidR="009A1E81">
        <w:rPr>
          <w:rFonts w:ascii="Book Antiqua" w:hAnsi="Book Antiqua"/>
          <w:b/>
          <w:bCs/>
          <w:sz w:val="23"/>
          <w:szCs w:val="23"/>
        </w:rPr>
        <w:t>AB/15/</w:t>
      </w:r>
      <w:r w:rsidR="00BF6557">
        <w:rPr>
          <w:rFonts w:ascii="Book Antiqua" w:hAnsi="Book Antiqua"/>
          <w:b/>
          <w:bCs/>
          <w:sz w:val="23"/>
          <w:szCs w:val="23"/>
        </w:rPr>
        <w:t>508-510</w:t>
      </w:r>
      <w:r w:rsidR="00BF6557">
        <w:rPr>
          <w:rFonts w:ascii="Book Antiqua" w:hAnsi="Book Antiqua"/>
          <w:sz w:val="23"/>
          <w:szCs w:val="23"/>
        </w:rPr>
        <w:t>]</w:t>
      </w:r>
      <w:r w:rsidR="00C553CA">
        <w:rPr>
          <w:rFonts w:ascii="Book Antiqua" w:hAnsi="Book Antiqua"/>
          <w:sz w:val="23"/>
          <w:szCs w:val="23"/>
        </w:rPr>
        <w:t xml:space="preserve"> and </w:t>
      </w:r>
      <w:r w:rsidR="00854CAD">
        <w:rPr>
          <w:rFonts w:ascii="Book Antiqua" w:hAnsi="Book Antiqua"/>
          <w:sz w:val="23"/>
          <w:szCs w:val="23"/>
        </w:rPr>
        <w:t xml:space="preserve">adopted by </w:t>
      </w:r>
      <w:r w:rsidR="00854CAD" w:rsidRPr="007D48E4">
        <w:rPr>
          <w:rFonts w:ascii="Book Antiqua" w:hAnsi="Book Antiqua"/>
          <w:sz w:val="23"/>
          <w:szCs w:val="23"/>
        </w:rPr>
        <w:t>Fordham J</w:t>
      </w:r>
      <w:r w:rsidR="00854CAD">
        <w:rPr>
          <w:rFonts w:ascii="Book Antiqua" w:hAnsi="Book Antiqua"/>
          <w:sz w:val="23"/>
          <w:szCs w:val="23"/>
        </w:rPr>
        <w:t xml:space="preserve"> at </w:t>
      </w:r>
      <w:r w:rsidR="003413CD">
        <w:rPr>
          <w:rFonts w:ascii="Book Antiqua" w:hAnsi="Book Antiqua"/>
          <w:sz w:val="23"/>
          <w:szCs w:val="23"/>
        </w:rPr>
        <w:t>§</w:t>
      </w:r>
      <w:r w:rsidR="00854CAD">
        <w:rPr>
          <w:rFonts w:ascii="Book Antiqua" w:hAnsi="Book Antiqua"/>
          <w:sz w:val="23"/>
          <w:szCs w:val="23"/>
        </w:rPr>
        <w:t xml:space="preserve">27 of </w:t>
      </w:r>
      <w:r w:rsidR="003413CD">
        <w:rPr>
          <w:rFonts w:ascii="Book Antiqua" w:hAnsi="Book Antiqua"/>
          <w:sz w:val="23"/>
          <w:szCs w:val="23"/>
        </w:rPr>
        <w:t>the Fordham Judgment</w:t>
      </w:r>
      <w:r w:rsidR="00D50215">
        <w:rPr>
          <w:rFonts w:ascii="Book Antiqua" w:hAnsi="Book Antiqua"/>
          <w:sz w:val="23"/>
          <w:szCs w:val="23"/>
        </w:rPr>
        <w:t xml:space="preserve"> [</w:t>
      </w:r>
      <w:r w:rsidR="00D50215" w:rsidRPr="00D50215">
        <w:rPr>
          <w:rFonts w:ascii="Book Antiqua" w:hAnsi="Book Antiqua"/>
          <w:b/>
          <w:bCs/>
          <w:sz w:val="23"/>
          <w:szCs w:val="23"/>
        </w:rPr>
        <w:t>SB/10/920</w:t>
      </w:r>
      <w:r w:rsidR="00BB1AB4">
        <w:rPr>
          <w:rFonts w:ascii="Book Antiqua" w:hAnsi="Book Antiqua"/>
          <w:b/>
          <w:bCs/>
          <w:sz w:val="23"/>
          <w:szCs w:val="23"/>
        </w:rPr>
        <w:t>(</w:t>
      </w:r>
      <w:r w:rsidR="004329C6" w:rsidRPr="005458F5">
        <w:rPr>
          <w:rFonts w:ascii="Book Antiqua" w:hAnsi="Book Antiqua"/>
          <w:b/>
          <w:bCs/>
          <w:sz w:val="23"/>
          <w:szCs w:val="23"/>
        </w:rPr>
        <w:t>PDF282</w:t>
      </w:r>
      <w:r w:rsidR="00BB1AB4">
        <w:rPr>
          <w:rFonts w:ascii="Book Antiqua" w:hAnsi="Book Antiqua"/>
          <w:b/>
          <w:bCs/>
          <w:sz w:val="23"/>
          <w:szCs w:val="23"/>
        </w:rPr>
        <w:t>)</w:t>
      </w:r>
      <w:r w:rsidR="004329C6" w:rsidRPr="005458F5">
        <w:rPr>
          <w:rFonts w:ascii="Book Antiqua" w:hAnsi="Book Antiqua"/>
          <w:b/>
          <w:bCs/>
          <w:sz w:val="23"/>
          <w:szCs w:val="23"/>
        </w:rPr>
        <w:t>]</w:t>
      </w:r>
      <w:r w:rsidR="00E5061E" w:rsidRPr="005458F5">
        <w:rPr>
          <w:rFonts w:ascii="Book Antiqua" w:hAnsi="Book Antiqua"/>
          <w:b/>
          <w:bCs/>
          <w:sz w:val="23"/>
          <w:szCs w:val="23"/>
        </w:rPr>
        <w:t>.</w:t>
      </w:r>
      <w:r w:rsidR="00E5061E">
        <w:rPr>
          <w:rFonts w:ascii="Book Antiqua" w:hAnsi="Book Antiqua"/>
          <w:sz w:val="23"/>
          <w:szCs w:val="23"/>
        </w:rPr>
        <w:t xml:space="preserve"> </w:t>
      </w:r>
    </w:p>
    <w:p w14:paraId="086224A0" w14:textId="77777777" w:rsidR="003413CD" w:rsidRDefault="003413CD" w:rsidP="003413CD">
      <w:pPr>
        <w:pStyle w:val="ListParagraph"/>
        <w:spacing w:line="360" w:lineRule="auto"/>
        <w:ind w:left="567"/>
        <w:jc w:val="both"/>
        <w:rPr>
          <w:rFonts w:ascii="Book Antiqua" w:hAnsi="Book Antiqua"/>
          <w:sz w:val="23"/>
          <w:szCs w:val="23"/>
        </w:rPr>
      </w:pPr>
    </w:p>
    <w:p w14:paraId="380965B6" w14:textId="3A863322" w:rsidR="00962707" w:rsidRPr="007D48E4" w:rsidRDefault="00E5061E" w:rsidP="007D48E4">
      <w:pPr>
        <w:pStyle w:val="ListParagraph"/>
        <w:numPr>
          <w:ilvl w:val="0"/>
          <w:numId w:val="3"/>
        </w:numPr>
        <w:spacing w:line="360" w:lineRule="auto"/>
        <w:ind w:left="567" w:hanging="567"/>
        <w:jc w:val="both"/>
        <w:rPr>
          <w:rFonts w:ascii="Book Antiqua" w:hAnsi="Book Antiqua"/>
          <w:sz w:val="23"/>
          <w:szCs w:val="23"/>
        </w:rPr>
      </w:pPr>
      <w:r>
        <w:rPr>
          <w:rFonts w:ascii="Book Antiqua" w:hAnsi="Book Antiqua"/>
          <w:sz w:val="23"/>
          <w:szCs w:val="23"/>
        </w:rPr>
        <w:t>The effect is to seek</w:t>
      </w:r>
      <w:r w:rsidR="00E47A4F" w:rsidRPr="007D48E4">
        <w:rPr>
          <w:rFonts w:ascii="Book Antiqua" w:hAnsi="Book Antiqua"/>
          <w:sz w:val="23"/>
          <w:szCs w:val="23"/>
        </w:rPr>
        <w:t xml:space="preserve"> </w:t>
      </w:r>
      <w:r w:rsidR="00E47A4F" w:rsidRPr="007D48E4">
        <w:rPr>
          <w:rFonts w:ascii="Book Antiqua" w:hAnsi="Book Antiqua"/>
          <w:i/>
          <w:iCs/>
          <w:sz w:val="23"/>
          <w:szCs w:val="23"/>
        </w:rPr>
        <w:t>contra mundum</w:t>
      </w:r>
      <w:r w:rsidR="00E47A4F" w:rsidRPr="007D48E4">
        <w:rPr>
          <w:rFonts w:ascii="Book Antiqua" w:hAnsi="Book Antiqua"/>
          <w:sz w:val="23"/>
          <w:szCs w:val="23"/>
        </w:rPr>
        <w:t xml:space="preserve"> relief</w:t>
      </w:r>
      <w:r w:rsidR="008339D7">
        <w:rPr>
          <w:rFonts w:ascii="Book Antiqua" w:hAnsi="Book Antiqua"/>
          <w:sz w:val="23"/>
          <w:szCs w:val="23"/>
        </w:rPr>
        <w:t xml:space="preserve"> </w:t>
      </w:r>
      <w:r w:rsidR="00A84A08">
        <w:rPr>
          <w:rFonts w:ascii="Book Antiqua" w:hAnsi="Book Antiqua"/>
          <w:sz w:val="23"/>
          <w:szCs w:val="23"/>
        </w:rPr>
        <w:t xml:space="preserve">for the acts of trespass and </w:t>
      </w:r>
      <w:r w:rsidR="00BB7E4F">
        <w:rPr>
          <w:rFonts w:ascii="Book Antiqua" w:hAnsi="Book Antiqua"/>
          <w:sz w:val="23"/>
          <w:szCs w:val="23"/>
        </w:rPr>
        <w:t>private</w:t>
      </w:r>
      <w:r w:rsidR="007111A6">
        <w:rPr>
          <w:rFonts w:ascii="Book Antiqua" w:hAnsi="Book Antiqua"/>
          <w:sz w:val="23"/>
          <w:szCs w:val="23"/>
        </w:rPr>
        <w:t xml:space="preserve"> </w:t>
      </w:r>
      <w:r w:rsidR="00A84A08">
        <w:rPr>
          <w:rFonts w:ascii="Book Antiqua" w:hAnsi="Book Antiqua"/>
          <w:sz w:val="23"/>
          <w:szCs w:val="23"/>
        </w:rPr>
        <w:t xml:space="preserve">nuisance identified above, </w:t>
      </w:r>
      <w:r w:rsidR="00E47A4F" w:rsidRPr="007D48E4">
        <w:rPr>
          <w:rFonts w:ascii="Book Antiqua" w:hAnsi="Book Antiqua"/>
          <w:sz w:val="23"/>
          <w:szCs w:val="23"/>
        </w:rPr>
        <w:t xml:space="preserve">but with the </w:t>
      </w:r>
      <w:r w:rsidR="00CD6F0A" w:rsidRPr="007D48E4">
        <w:rPr>
          <w:rFonts w:ascii="Book Antiqua" w:hAnsi="Book Antiqua"/>
          <w:sz w:val="23"/>
          <w:szCs w:val="23"/>
        </w:rPr>
        <w:t xml:space="preserve">protection conferred </w:t>
      </w:r>
      <w:r w:rsidR="0018206B">
        <w:rPr>
          <w:rFonts w:ascii="Book Antiqua" w:hAnsi="Book Antiqua"/>
          <w:sz w:val="23"/>
          <w:szCs w:val="23"/>
        </w:rPr>
        <w:t>by the</w:t>
      </w:r>
      <w:r w:rsidR="0018206B" w:rsidRPr="007D48E4">
        <w:rPr>
          <w:rFonts w:ascii="Book Antiqua" w:hAnsi="Book Antiqua"/>
          <w:sz w:val="23"/>
          <w:szCs w:val="23"/>
        </w:rPr>
        <w:t xml:space="preserve"> </w:t>
      </w:r>
      <w:r w:rsidR="00CD6F0A" w:rsidRPr="007D48E4">
        <w:rPr>
          <w:rFonts w:ascii="Book Antiqua" w:hAnsi="Book Antiqua"/>
          <w:sz w:val="23"/>
          <w:szCs w:val="23"/>
        </w:rPr>
        <w:t xml:space="preserve">Draft Order, </w:t>
      </w:r>
      <w:r w:rsidR="00BB7E4F">
        <w:rPr>
          <w:rFonts w:ascii="Book Antiqua" w:hAnsi="Book Antiqua"/>
          <w:sz w:val="23"/>
          <w:szCs w:val="23"/>
        </w:rPr>
        <w:t xml:space="preserve">at </w:t>
      </w:r>
      <w:r w:rsidR="003413CD">
        <w:rPr>
          <w:rFonts w:ascii="Book Antiqua" w:hAnsi="Book Antiqua"/>
          <w:sz w:val="23"/>
          <w:szCs w:val="23"/>
        </w:rPr>
        <w:t>§</w:t>
      </w:r>
      <w:r w:rsidR="00BB7E4F">
        <w:rPr>
          <w:rFonts w:ascii="Book Antiqua" w:hAnsi="Book Antiqua"/>
          <w:sz w:val="23"/>
          <w:szCs w:val="23"/>
        </w:rPr>
        <w:t>5 by which affected persons are</w:t>
      </w:r>
      <w:r w:rsidR="00BB7E4F" w:rsidRPr="004809D9">
        <w:rPr>
          <w:rFonts w:ascii="Book Antiqua" w:hAnsi="Book Antiqua"/>
          <w:sz w:val="23"/>
          <w:szCs w:val="23"/>
        </w:rPr>
        <w:t xml:space="preserve"> entitled to apply to the Court or vary or discharge the order</w:t>
      </w:r>
      <w:r w:rsidR="00BB7E4F" w:rsidRPr="007D48E4">
        <w:rPr>
          <w:rFonts w:ascii="Book Antiqua" w:hAnsi="Book Antiqua"/>
          <w:sz w:val="23"/>
          <w:szCs w:val="23"/>
        </w:rPr>
        <w:t xml:space="preserve"> </w:t>
      </w:r>
      <w:r w:rsidR="00BB7E4F">
        <w:rPr>
          <w:rFonts w:ascii="Book Antiqua" w:hAnsi="Book Antiqua"/>
          <w:sz w:val="23"/>
          <w:szCs w:val="23"/>
        </w:rPr>
        <w:t xml:space="preserve">and at </w:t>
      </w:r>
      <w:r w:rsidR="003413CD">
        <w:rPr>
          <w:rFonts w:ascii="Book Antiqua" w:hAnsi="Book Antiqua"/>
          <w:sz w:val="23"/>
          <w:szCs w:val="23"/>
        </w:rPr>
        <w:t>§</w:t>
      </w:r>
      <w:r w:rsidR="00CD6F0A" w:rsidRPr="007D48E4">
        <w:rPr>
          <w:rFonts w:ascii="Book Antiqua" w:hAnsi="Book Antiqua"/>
          <w:sz w:val="23"/>
          <w:szCs w:val="23"/>
        </w:rPr>
        <w:t>1</w:t>
      </w:r>
      <w:r w:rsidR="00785233" w:rsidRPr="007D48E4">
        <w:rPr>
          <w:rFonts w:ascii="Book Antiqua" w:hAnsi="Book Antiqua"/>
          <w:sz w:val="23"/>
          <w:szCs w:val="23"/>
        </w:rPr>
        <w:t>3</w:t>
      </w:r>
      <w:r w:rsidR="00CD6F0A" w:rsidRPr="007D48E4">
        <w:rPr>
          <w:rFonts w:ascii="Book Antiqua" w:hAnsi="Book Antiqua"/>
          <w:sz w:val="23"/>
          <w:szCs w:val="23"/>
        </w:rPr>
        <w:t xml:space="preserve">, by which the permission of the Court </w:t>
      </w:r>
      <w:r w:rsidR="00D56E73" w:rsidRPr="007D48E4">
        <w:rPr>
          <w:rFonts w:ascii="Book Antiqua" w:hAnsi="Book Antiqua"/>
          <w:sz w:val="23"/>
          <w:szCs w:val="23"/>
        </w:rPr>
        <w:t>is required before a contempt application is brought</w:t>
      </w:r>
      <w:r w:rsidR="000A630A">
        <w:rPr>
          <w:rFonts w:ascii="Book Antiqua" w:hAnsi="Book Antiqua"/>
          <w:sz w:val="23"/>
          <w:szCs w:val="23"/>
        </w:rPr>
        <w:t xml:space="preserve"> </w:t>
      </w:r>
      <w:r w:rsidR="00504365">
        <w:rPr>
          <w:rStyle w:val="FootnoteReference"/>
          <w:rFonts w:ascii="Book Antiqua" w:hAnsi="Book Antiqua"/>
          <w:sz w:val="23"/>
          <w:szCs w:val="23"/>
        </w:rPr>
        <w:footnoteReference w:id="3"/>
      </w:r>
      <w:r w:rsidR="00D56E73" w:rsidRPr="007D48E4">
        <w:rPr>
          <w:rFonts w:ascii="Book Antiqua" w:hAnsi="Book Antiqua"/>
          <w:sz w:val="23"/>
          <w:szCs w:val="23"/>
        </w:rPr>
        <w:t xml:space="preserve">. </w:t>
      </w:r>
      <w:r w:rsidR="00BB7E4F">
        <w:rPr>
          <w:rFonts w:ascii="Book Antiqua" w:hAnsi="Book Antiqua"/>
          <w:sz w:val="23"/>
          <w:szCs w:val="23"/>
        </w:rPr>
        <w:t>The Claimant</w:t>
      </w:r>
      <w:r w:rsidR="007C2CE2">
        <w:rPr>
          <w:rFonts w:ascii="Book Antiqua" w:hAnsi="Book Antiqua"/>
          <w:sz w:val="23"/>
          <w:szCs w:val="23"/>
        </w:rPr>
        <w:t xml:space="preserve">’s seeks to </w:t>
      </w:r>
      <w:r w:rsidR="00BB7E4F">
        <w:rPr>
          <w:rFonts w:ascii="Book Antiqua" w:hAnsi="Book Antiqua"/>
          <w:sz w:val="23"/>
          <w:szCs w:val="23"/>
        </w:rPr>
        <w:t xml:space="preserve">amend the Claim Form </w:t>
      </w:r>
      <w:r w:rsidR="00EB02D7">
        <w:rPr>
          <w:rFonts w:ascii="Book Antiqua" w:hAnsi="Book Antiqua"/>
          <w:sz w:val="23"/>
          <w:szCs w:val="23"/>
        </w:rPr>
        <w:t xml:space="preserve">to reflect the </w:t>
      </w:r>
      <w:r w:rsidR="00EB02D7">
        <w:rPr>
          <w:rFonts w:ascii="Book Antiqua" w:hAnsi="Book Antiqua"/>
          <w:i/>
          <w:iCs/>
          <w:sz w:val="23"/>
          <w:szCs w:val="23"/>
        </w:rPr>
        <w:t xml:space="preserve">contra mundum </w:t>
      </w:r>
      <w:r w:rsidR="00CD7118">
        <w:rPr>
          <w:rFonts w:ascii="Book Antiqua" w:hAnsi="Book Antiqua"/>
          <w:sz w:val="23"/>
          <w:szCs w:val="23"/>
        </w:rPr>
        <w:t xml:space="preserve">wording </w:t>
      </w:r>
      <w:r w:rsidR="00601EED">
        <w:rPr>
          <w:rFonts w:ascii="Book Antiqua" w:hAnsi="Book Antiqua"/>
          <w:sz w:val="23"/>
          <w:szCs w:val="23"/>
        </w:rPr>
        <w:t xml:space="preserve">(Draft Order §1) </w:t>
      </w:r>
      <w:r w:rsidR="00CD7118">
        <w:rPr>
          <w:rFonts w:ascii="Book Antiqua" w:hAnsi="Book Antiqua"/>
          <w:sz w:val="23"/>
          <w:szCs w:val="23"/>
        </w:rPr>
        <w:t xml:space="preserve">and the Court </w:t>
      </w:r>
      <w:r w:rsidR="006A141F">
        <w:rPr>
          <w:rFonts w:ascii="Book Antiqua" w:hAnsi="Book Antiqua"/>
          <w:sz w:val="23"/>
          <w:szCs w:val="23"/>
        </w:rPr>
        <w:t xml:space="preserve">will be invited </w:t>
      </w:r>
      <w:r w:rsidR="00CD7118">
        <w:rPr>
          <w:rFonts w:ascii="Book Antiqua" w:hAnsi="Book Antiqua"/>
          <w:sz w:val="23"/>
          <w:szCs w:val="23"/>
        </w:rPr>
        <w:t xml:space="preserve">to consider </w:t>
      </w:r>
      <w:r w:rsidR="00601EED">
        <w:rPr>
          <w:rFonts w:ascii="Book Antiqua" w:hAnsi="Book Antiqua"/>
          <w:sz w:val="23"/>
          <w:szCs w:val="23"/>
        </w:rPr>
        <w:t>its</w:t>
      </w:r>
      <w:r w:rsidR="00CD7118">
        <w:rPr>
          <w:rFonts w:ascii="Book Antiqua" w:hAnsi="Book Antiqua"/>
          <w:sz w:val="23"/>
          <w:szCs w:val="23"/>
        </w:rPr>
        <w:t xml:space="preserve"> application at </w:t>
      </w:r>
      <w:r w:rsidR="006A141F">
        <w:rPr>
          <w:rFonts w:ascii="Book Antiqua" w:hAnsi="Book Antiqua"/>
          <w:sz w:val="23"/>
          <w:szCs w:val="23"/>
        </w:rPr>
        <w:t xml:space="preserve">an </w:t>
      </w:r>
      <w:r w:rsidR="00CD7118">
        <w:rPr>
          <w:rFonts w:ascii="Book Antiqua" w:hAnsi="Book Antiqua"/>
          <w:sz w:val="23"/>
          <w:szCs w:val="23"/>
        </w:rPr>
        <w:t xml:space="preserve">appropriate </w:t>
      </w:r>
      <w:r w:rsidR="00F513CC">
        <w:rPr>
          <w:rFonts w:ascii="Book Antiqua" w:hAnsi="Book Antiqua"/>
          <w:sz w:val="23"/>
          <w:szCs w:val="23"/>
        </w:rPr>
        <w:t>juncture</w:t>
      </w:r>
      <w:r w:rsidR="006A141F">
        <w:rPr>
          <w:rFonts w:ascii="Book Antiqua" w:hAnsi="Book Antiqua"/>
          <w:sz w:val="23"/>
          <w:szCs w:val="23"/>
        </w:rPr>
        <w:t xml:space="preserve"> at the hearing</w:t>
      </w:r>
      <w:r w:rsidR="00B20324">
        <w:rPr>
          <w:rFonts w:ascii="Book Antiqua" w:hAnsi="Book Antiqua"/>
          <w:sz w:val="23"/>
          <w:szCs w:val="23"/>
        </w:rPr>
        <w:t xml:space="preserve"> [</w:t>
      </w:r>
      <w:r w:rsidR="00B20324" w:rsidRPr="00B20324">
        <w:rPr>
          <w:rFonts w:ascii="Book Antiqua" w:hAnsi="Book Antiqua"/>
          <w:b/>
          <w:bCs/>
          <w:sz w:val="23"/>
          <w:szCs w:val="23"/>
        </w:rPr>
        <w:t>S</w:t>
      </w:r>
      <w:r w:rsidR="00B20324">
        <w:rPr>
          <w:rFonts w:ascii="Book Antiqua" w:hAnsi="Book Antiqua"/>
          <w:b/>
          <w:bCs/>
          <w:sz w:val="23"/>
          <w:szCs w:val="23"/>
        </w:rPr>
        <w:t>B</w:t>
      </w:r>
      <w:r w:rsidR="00B20324" w:rsidRPr="00B20324">
        <w:rPr>
          <w:rFonts w:ascii="Book Antiqua" w:hAnsi="Book Antiqua"/>
          <w:b/>
          <w:bCs/>
          <w:sz w:val="23"/>
          <w:szCs w:val="23"/>
        </w:rPr>
        <w:t>/4/66</w:t>
      </w:r>
      <w:r w:rsidR="00601EED">
        <w:rPr>
          <w:rFonts w:ascii="Book Antiqua" w:hAnsi="Book Antiqua"/>
          <w:b/>
          <w:bCs/>
          <w:sz w:val="23"/>
          <w:szCs w:val="23"/>
        </w:rPr>
        <w:t>7</w:t>
      </w:r>
      <w:r w:rsidR="00BB1AB4">
        <w:rPr>
          <w:rFonts w:ascii="Book Antiqua" w:hAnsi="Book Antiqua"/>
          <w:b/>
          <w:bCs/>
          <w:sz w:val="23"/>
          <w:szCs w:val="23"/>
        </w:rPr>
        <w:t>(</w:t>
      </w:r>
      <w:r w:rsidR="004329C6" w:rsidRPr="005458F5">
        <w:rPr>
          <w:rFonts w:ascii="Book Antiqua" w:hAnsi="Book Antiqua"/>
          <w:b/>
          <w:bCs/>
          <w:sz w:val="23"/>
          <w:szCs w:val="23"/>
        </w:rPr>
        <w:t>PDF29</w:t>
      </w:r>
      <w:r w:rsidR="00BB1AB4">
        <w:rPr>
          <w:rFonts w:ascii="Book Antiqua" w:hAnsi="Book Antiqua"/>
          <w:b/>
          <w:bCs/>
          <w:sz w:val="23"/>
          <w:szCs w:val="23"/>
        </w:rPr>
        <w:t>)</w:t>
      </w:r>
      <w:r w:rsidR="004329C6" w:rsidRPr="005458F5">
        <w:rPr>
          <w:rFonts w:ascii="Book Antiqua" w:hAnsi="Book Antiqua"/>
          <w:b/>
          <w:bCs/>
          <w:sz w:val="23"/>
          <w:szCs w:val="23"/>
        </w:rPr>
        <w:t>]</w:t>
      </w:r>
      <w:r w:rsidR="00CD7118" w:rsidRPr="005458F5">
        <w:rPr>
          <w:rFonts w:ascii="Book Antiqua" w:hAnsi="Book Antiqua"/>
          <w:b/>
          <w:bCs/>
          <w:sz w:val="23"/>
          <w:szCs w:val="23"/>
        </w:rPr>
        <w:t xml:space="preserve">. </w:t>
      </w:r>
      <w:r w:rsidR="004809D9" w:rsidRPr="005458F5">
        <w:rPr>
          <w:rFonts w:ascii="Book Antiqua" w:hAnsi="Book Antiqua"/>
          <w:b/>
          <w:bCs/>
          <w:sz w:val="23"/>
          <w:szCs w:val="23"/>
        </w:rPr>
        <w:t xml:space="preserve"> </w:t>
      </w:r>
    </w:p>
    <w:p w14:paraId="5C5691E9" w14:textId="77777777" w:rsidR="00076E49" w:rsidRDefault="00076E49" w:rsidP="00076E49">
      <w:pPr>
        <w:pStyle w:val="ListParagraph"/>
        <w:spacing w:line="360" w:lineRule="auto"/>
        <w:ind w:left="567"/>
        <w:contextualSpacing w:val="0"/>
        <w:jc w:val="both"/>
        <w:rPr>
          <w:rFonts w:ascii="Book Antiqua" w:hAnsi="Book Antiqua"/>
          <w:sz w:val="6"/>
          <w:szCs w:val="6"/>
        </w:rPr>
      </w:pPr>
    </w:p>
    <w:p w14:paraId="481D7054" w14:textId="77777777" w:rsidR="00FE18F1" w:rsidRPr="005F7736" w:rsidRDefault="00FE18F1" w:rsidP="00076E49">
      <w:pPr>
        <w:pStyle w:val="ListParagraph"/>
        <w:spacing w:line="360" w:lineRule="auto"/>
        <w:ind w:left="567"/>
        <w:contextualSpacing w:val="0"/>
        <w:jc w:val="both"/>
        <w:rPr>
          <w:rFonts w:ascii="Book Antiqua" w:hAnsi="Book Antiqua"/>
          <w:sz w:val="6"/>
          <w:szCs w:val="6"/>
        </w:rPr>
      </w:pPr>
    </w:p>
    <w:p w14:paraId="5D2C4D44" w14:textId="0A3E60FB" w:rsidR="00414419" w:rsidRPr="00C3428A" w:rsidRDefault="00414419" w:rsidP="00401BD9">
      <w:pPr>
        <w:pStyle w:val="ListParagraph"/>
        <w:numPr>
          <w:ilvl w:val="0"/>
          <w:numId w:val="2"/>
        </w:numPr>
        <w:spacing w:line="360" w:lineRule="auto"/>
        <w:ind w:left="567" w:hanging="567"/>
        <w:contextualSpacing w:val="0"/>
        <w:jc w:val="both"/>
        <w:rPr>
          <w:rFonts w:ascii="Book Antiqua" w:hAnsi="Book Antiqua"/>
          <w:b/>
          <w:bCs/>
          <w:sz w:val="23"/>
          <w:szCs w:val="23"/>
          <w:u w:val="single"/>
        </w:rPr>
      </w:pPr>
      <w:r w:rsidRPr="00C3428A">
        <w:rPr>
          <w:rFonts w:ascii="Book Antiqua" w:hAnsi="Book Antiqua"/>
          <w:b/>
          <w:bCs/>
          <w:sz w:val="23"/>
          <w:szCs w:val="23"/>
          <w:u w:val="single"/>
        </w:rPr>
        <w:t>THE LAND</w:t>
      </w:r>
    </w:p>
    <w:p w14:paraId="3D5B865F" w14:textId="28982314" w:rsidR="00414419" w:rsidRPr="00C3428A" w:rsidRDefault="008869A0" w:rsidP="00E34606">
      <w:pPr>
        <w:pStyle w:val="ListParagraph"/>
        <w:numPr>
          <w:ilvl w:val="0"/>
          <w:numId w:val="3"/>
        </w:numPr>
        <w:spacing w:line="360" w:lineRule="auto"/>
        <w:ind w:left="567" w:hanging="567"/>
        <w:contextualSpacing w:val="0"/>
        <w:jc w:val="both"/>
        <w:rPr>
          <w:rFonts w:ascii="Book Antiqua" w:hAnsi="Book Antiqua"/>
          <w:sz w:val="23"/>
          <w:szCs w:val="23"/>
        </w:rPr>
      </w:pPr>
      <w:r w:rsidRPr="00C3428A">
        <w:rPr>
          <w:rFonts w:ascii="Book Antiqua" w:hAnsi="Book Antiqua"/>
          <w:sz w:val="23"/>
          <w:szCs w:val="23"/>
        </w:rPr>
        <w:t>Plan A</w:t>
      </w:r>
      <w:r w:rsidR="005772FE">
        <w:rPr>
          <w:rFonts w:ascii="Book Antiqua" w:hAnsi="Book Antiqua"/>
          <w:sz w:val="23"/>
          <w:szCs w:val="23"/>
        </w:rPr>
        <w:t xml:space="preserve"> </w:t>
      </w:r>
      <w:r w:rsidR="005772FE" w:rsidRPr="005458F5">
        <w:rPr>
          <w:rFonts w:ascii="Book Antiqua" w:hAnsi="Book Antiqua"/>
          <w:b/>
          <w:bCs/>
          <w:sz w:val="23"/>
          <w:szCs w:val="23"/>
        </w:rPr>
        <w:t>[HB/1/6</w:t>
      </w:r>
      <w:r w:rsidR="00437A75">
        <w:rPr>
          <w:rFonts w:ascii="Book Antiqua" w:hAnsi="Book Antiqua"/>
          <w:b/>
          <w:bCs/>
          <w:sz w:val="23"/>
          <w:szCs w:val="23"/>
        </w:rPr>
        <w:t>(</w:t>
      </w:r>
      <w:r w:rsidR="005772FE" w:rsidRPr="005458F5">
        <w:rPr>
          <w:rFonts w:ascii="Book Antiqua" w:hAnsi="Book Antiqua"/>
          <w:b/>
          <w:bCs/>
          <w:sz w:val="23"/>
          <w:szCs w:val="23"/>
        </w:rPr>
        <w:t>PDF8</w:t>
      </w:r>
      <w:r w:rsidR="00437A75">
        <w:rPr>
          <w:rFonts w:ascii="Book Antiqua" w:hAnsi="Book Antiqua"/>
          <w:b/>
          <w:bCs/>
          <w:sz w:val="23"/>
          <w:szCs w:val="23"/>
        </w:rPr>
        <w:t>)</w:t>
      </w:r>
      <w:r w:rsidR="005772FE" w:rsidRPr="005458F5">
        <w:rPr>
          <w:rFonts w:ascii="Book Antiqua" w:hAnsi="Book Antiqua"/>
          <w:b/>
          <w:bCs/>
          <w:sz w:val="23"/>
          <w:szCs w:val="23"/>
        </w:rPr>
        <w:t>]</w:t>
      </w:r>
      <w:r w:rsidRPr="00C3428A">
        <w:rPr>
          <w:rFonts w:ascii="Book Antiqua" w:hAnsi="Book Antiqua"/>
          <w:sz w:val="23"/>
          <w:szCs w:val="23"/>
        </w:rPr>
        <w:t xml:space="preserve"> shows the general location</w:t>
      </w:r>
      <w:r w:rsidR="00FA3AA7">
        <w:rPr>
          <w:rFonts w:ascii="Book Antiqua" w:hAnsi="Book Antiqua"/>
          <w:sz w:val="23"/>
          <w:szCs w:val="23"/>
        </w:rPr>
        <w:t>s</w:t>
      </w:r>
      <w:r w:rsidRPr="00C3428A">
        <w:rPr>
          <w:rFonts w:ascii="Book Antiqua" w:hAnsi="Book Antiqua"/>
          <w:sz w:val="23"/>
          <w:szCs w:val="23"/>
        </w:rPr>
        <w:t xml:space="preserve"> of the two sites </w:t>
      </w:r>
      <w:r w:rsidR="00E34606" w:rsidRPr="00C3428A">
        <w:rPr>
          <w:rFonts w:ascii="Book Antiqua" w:hAnsi="Book Antiqua"/>
          <w:sz w:val="23"/>
          <w:szCs w:val="23"/>
        </w:rPr>
        <w:t>sought to be protected by injunctive relief</w:t>
      </w:r>
      <w:r w:rsidR="00710B6A">
        <w:rPr>
          <w:rFonts w:ascii="Book Antiqua" w:hAnsi="Book Antiqua"/>
          <w:sz w:val="23"/>
          <w:szCs w:val="23"/>
        </w:rPr>
        <w:t xml:space="preserve"> – the Land</w:t>
      </w:r>
      <w:r w:rsidR="00690E14">
        <w:rPr>
          <w:rFonts w:ascii="Book Antiqua" w:hAnsi="Book Antiqua"/>
          <w:sz w:val="23"/>
          <w:szCs w:val="23"/>
        </w:rPr>
        <w:t xml:space="preserve"> </w:t>
      </w:r>
      <w:r w:rsidR="00690E14">
        <w:rPr>
          <w:rFonts w:ascii="Book Antiqua" w:hAnsi="Book Antiqua"/>
          <w:b/>
          <w:bCs/>
          <w:sz w:val="23"/>
          <w:szCs w:val="23"/>
        </w:rPr>
        <w:t>[</w:t>
      </w:r>
      <w:r w:rsidR="00211D7C">
        <w:rPr>
          <w:rFonts w:ascii="Book Antiqua" w:hAnsi="Book Antiqua"/>
          <w:b/>
          <w:bCs/>
          <w:sz w:val="23"/>
          <w:szCs w:val="23"/>
        </w:rPr>
        <w:t>HB</w:t>
      </w:r>
      <w:r w:rsidR="00D86C41">
        <w:rPr>
          <w:rFonts w:ascii="Book Antiqua" w:hAnsi="Book Antiqua"/>
          <w:b/>
          <w:bCs/>
          <w:sz w:val="23"/>
          <w:szCs w:val="23"/>
        </w:rPr>
        <w:t>/6</w:t>
      </w:r>
      <w:r w:rsidR="004329C6">
        <w:rPr>
          <w:rFonts w:ascii="Book Antiqua" w:hAnsi="Book Antiqua"/>
          <w:b/>
          <w:bCs/>
          <w:sz w:val="23"/>
          <w:szCs w:val="23"/>
        </w:rPr>
        <w:t>/46-47</w:t>
      </w:r>
      <w:r w:rsidR="00437A75">
        <w:rPr>
          <w:rFonts w:ascii="Book Antiqua" w:hAnsi="Book Antiqua"/>
          <w:b/>
          <w:bCs/>
          <w:sz w:val="23"/>
          <w:szCs w:val="23"/>
        </w:rPr>
        <w:t>(</w:t>
      </w:r>
      <w:r w:rsidR="004329C6">
        <w:rPr>
          <w:rFonts w:ascii="Book Antiqua" w:hAnsi="Book Antiqua"/>
          <w:b/>
          <w:bCs/>
          <w:sz w:val="23"/>
          <w:szCs w:val="23"/>
        </w:rPr>
        <w:t>PDF48</w:t>
      </w:r>
      <w:r w:rsidR="005772FE">
        <w:rPr>
          <w:rFonts w:ascii="Book Antiqua" w:hAnsi="Book Antiqua"/>
          <w:b/>
          <w:bCs/>
          <w:sz w:val="23"/>
          <w:szCs w:val="23"/>
        </w:rPr>
        <w:t>-49</w:t>
      </w:r>
      <w:r w:rsidR="00437A75">
        <w:rPr>
          <w:rFonts w:ascii="Book Antiqua" w:hAnsi="Book Antiqua"/>
          <w:b/>
          <w:bCs/>
          <w:sz w:val="23"/>
          <w:szCs w:val="23"/>
        </w:rPr>
        <w:t>)</w:t>
      </w:r>
      <w:r w:rsidR="004329C6">
        <w:rPr>
          <w:rFonts w:ascii="Book Antiqua" w:hAnsi="Book Antiqua"/>
          <w:b/>
          <w:bCs/>
          <w:sz w:val="23"/>
          <w:szCs w:val="23"/>
        </w:rPr>
        <w:t>]</w:t>
      </w:r>
      <w:r w:rsidR="00E34606" w:rsidRPr="00C3428A">
        <w:rPr>
          <w:rFonts w:ascii="Book Antiqua" w:hAnsi="Book Antiqua"/>
          <w:sz w:val="23"/>
          <w:szCs w:val="23"/>
        </w:rPr>
        <w:t>. These are shown in more detail in Plan 1 and Plan 2</w:t>
      </w:r>
      <w:r w:rsidR="00D80EC5">
        <w:rPr>
          <w:rFonts w:ascii="Book Antiqua" w:hAnsi="Book Antiqua"/>
          <w:sz w:val="23"/>
          <w:szCs w:val="23"/>
        </w:rPr>
        <w:t xml:space="preserve"> (edged red)</w:t>
      </w:r>
      <w:r w:rsidR="005772FE">
        <w:rPr>
          <w:rFonts w:ascii="Book Antiqua" w:hAnsi="Book Antiqua"/>
          <w:sz w:val="23"/>
          <w:szCs w:val="23"/>
        </w:rPr>
        <w:t xml:space="preserve"> </w:t>
      </w:r>
      <w:r w:rsidR="005772FE" w:rsidRPr="00EA7476">
        <w:rPr>
          <w:rFonts w:ascii="Book Antiqua" w:hAnsi="Book Antiqua"/>
          <w:b/>
          <w:bCs/>
          <w:sz w:val="23"/>
          <w:szCs w:val="23"/>
        </w:rPr>
        <w:t>[HB/1/</w:t>
      </w:r>
      <w:r w:rsidR="005772FE">
        <w:rPr>
          <w:rFonts w:ascii="Book Antiqua" w:hAnsi="Book Antiqua"/>
          <w:b/>
          <w:bCs/>
          <w:sz w:val="23"/>
          <w:szCs w:val="23"/>
        </w:rPr>
        <w:t>7-8</w:t>
      </w:r>
      <w:r w:rsidR="00F5771C">
        <w:rPr>
          <w:rFonts w:ascii="Book Antiqua" w:hAnsi="Book Antiqua"/>
          <w:b/>
          <w:bCs/>
          <w:sz w:val="23"/>
          <w:szCs w:val="23"/>
        </w:rPr>
        <w:t>(</w:t>
      </w:r>
      <w:r w:rsidR="005772FE" w:rsidRPr="00EA7476">
        <w:rPr>
          <w:rFonts w:ascii="Book Antiqua" w:hAnsi="Book Antiqua"/>
          <w:b/>
          <w:bCs/>
          <w:sz w:val="23"/>
          <w:szCs w:val="23"/>
        </w:rPr>
        <w:t>PDF</w:t>
      </w:r>
      <w:r w:rsidR="005772FE">
        <w:rPr>
          <w:rFonts w:ascii="Book Antiqua" w:hAnsi="Book Antiqua"/>
          <w:b/>
          <w:bCs/>
          <w:sz w:val="23"/>
          <w:szCs w:val="23"/>
        </w:rPr>
        <w:t>9-10</w:t>
      </w:r>
      <w:r w:rsidR="00F5771C">
        <w:rPr>
          <w:rFonts w:ascii="Book Antiqua" w:hAnsi="Book Antiqua"/>
          <w:b/>
          <w:bCs/>
          <w:sz w:val="23"/>
          <w:szCs w:val="23"/>
        </w:rPr>
        <w:t>)</w:t>
      </w:r>
      <w:r w:rsidR="005772FE" w:rsidRPr="00EA7476">
        <w:rPr>
          <w:rFonts w:ascii="Book Antiqua" w:hAnsi="Book Antiqua"/>
          <w:b/>
          <w:bCs/>
          <w:sz w:val="23"/>
          <w:szCs w:val="23"/>
        </w:rPr>
        <w:t>]</w:t>
      </w:r>
      <w:r w:rsidR="00E34606" w:rsidRPr="00C3428A">
        <w:rPr>
          <w:rFonts w:ascii="Book Antiqua" w:hAnsi="Book Antiqua"/>
          <w:sz w:val="23"/>
          <w:szCs w:val="23"/>
        </w:rPr>
        <w:t xml:space="preserve">. </w:t>
      </w:r>
    </w:p>
    <w:p w14:paraId="3F042EEC" w14:textId="13D56137" w:rsidR="00E34606" w:rsidRPr="00C3428A" w:rsidRDefault="00E34606" w:rsidP="00E34606">
      <w:pPr>
        <w:pStyle w:val="ListParagraph"/>
        <w:numPr>
          <w:ilvl w:val="0"/>
          <w:numId w:val="3"/>
        </w:numPr>
        <w:spacing w:line="360" w:lineRule="auto"/>
        <w:ind w:left="567" w:hanging="567"/>
        <w:contextualSpacing w:val="0"/>
        <w:jc w:val="both"/>
        <w:rPr>
          <w:rFonts w:ascii="Book Antiqua" w:hAnsi="Book Antiqua"/>
          <w:sz w:val="23"/>
          <w:szCs w:val="23"/>
        </w:rPr>
      </w:pPr>
      <w:r w:rsidRPr="00C3428A">
        <w:rPr>
          <w:rFonts w:ascii="Book Antiqua" w:hAnsi="Book Antiqua"/>
          <w:sz w:val="23"/>
          <w:szCs w:val="23"/>
        </w:rPr>
        <w:t>Plan 1</w:t>
      </w:r>
      <w:r w:rsidR="00D65553" w:rsidRPr="00C3428A">
        <w:rPr>
          <w:rFonts w:ascii="Book Antiqua" w:hAnsi="Book Antiqua"/>
          <w:sz w:val="23"/>
          <w:szCs w:val="23"/>
        </w:rPr>
        <w:t xml:space="preserve"> comprises</w:t>
      </w:r>
      <w:r w:rsidR="00D86C41">
        <w:rPr>
          <w:rFonts w:ascii="Book Antiqua" w:hAnsi="Book Antiqua"/>
          <w:sz w:val="23"/>
          <w:szCs w:val="23"/>
        </w:rPr>
        <w:t xml:space="preserve"> </w:t>
      </w:r>
      <w:r w:rsidR="00D86C41">
        <w:rPr>
          <w:rFonts w:ascii="Book Antiqua" w:hAnsi="Book Antiqua"/>
          <w:b/>
          <w:bCs/>
          <w:sz w:val="23"/>
          <w:szCs w:val="23"/>
        </w:rPr>
        <w:t>[</w:t>
      </w:r>
      <w:r w:rsidR="00211D7C">
        <w:rPr>
          <w:rFonts w:ascii="Book Antiqua" w:hAnsi="Book Antiqua"/>
          <w:b/>
          <w:bCs/>
          <w:sz w:val="23"/>
          <w:szCs w:val="23"/>
        </w:rPr>
        <w:t>HB</w:t>
      </w:r>
      <w:r w:rsidR="005772FE">
        <w:rPr>
          <w:rFonts w:ascii="Book Antiqua" w:hAnsi="Book Antiqua"/>
          <w:b/>
          <w:bCs/>
          <w:sz w:val="23"/>
          <w:szCs w:val="23"/>
        </w:rPr>
        <w:t>/1</w:t>
      </w:r>
      <w:r w:rsidR="00D86C41">
        <w:rPr>
          <w:rFonts w:ascii="Book Antiqua" w:hAnsi="Book Antiqua"/>
          <w:b/>
          <w:bCs/>
          <w:sz w:val="23"/>
          <w:szCs w:val="23"/>
        </w:rPr>
        <w:t>/7</w:t>
      </w:r>
      <w:r w:rsidR="00F5771C">
        <w:rPr>
          <w:rFonts w:ascii="Book Antiqua" w:hAnsi="Book Antiqua"/>
          <w:b/>
          <w:bCs/>
          <w:sz w:val="23"/>
          <w:szCs w:val="23"/>
        </w:rPr>
        <w:t>(</w:t>
      </w:r>
      <w:r w:rsidR="005772FE">
        <w:rPr>
          <w:rFonts w:ascii="Book Antiqua" w:hAnsi="Book Antiqua"/>
          <w:b/>
          <w:bCs/>
          <w:sz w:val="23"/>
          <w:szCs w:val="23"/>
        </w:rPr>
        <w:t>PDF9</w:t>
      </w:r>
      <w:r w:rsidR="00F5771C">
        <w:rPr>
          <w:rFonts w:ascii="Book Antiqua" w:hAnsi="Book Antiqua"/>
          <w:b/>
          <w:bCs/>
          <w:sz w:val="23"/>
          <w:szCs w:val="23"/>
        </w:rPr>
        <w:t>)</w:t>
      </w:r>
      <w:r w:rsidR="005772FE">
        <w:rPr>
          <w:rFonts w:ascii="Book Antiqua" w:hAnsi="Book Antiqua"/>
          <w:b/>
          <w:bCs/>
          <w:sz w:val="23"/>
          <w:szCs w:val="23"/>
        </w:rPr>
        <w:t>]</w:t>
      </w:r>
      <w:r w:rsidR="001E0FCD" w:rsidRPr="00C3428A">
        <w:rPr>
          <w:rFonts w:ascii="Book Antiqua" w:hAnsi="Book Antiqua"/>
          <w:sz w:val="23"/>
          <w:szCs w:val="23"/>
        </w:rPr>
        <w:t xml:space="preserve">: </w:t>
      </w:r>
    </w:p>
    <w:p w14:paraId="2985C088" w14:textId="0FBD1B02" w:rsidR="001E0FCD" w:rsidRPr="00C3428A" w:rsidRDefault="001E0FCD" w:rsidP="001E0FCD">
      <w:pPr>
        <w:pStyle w:val="ListParagraph"/>
        <w:numPr>
          <w:ilvl w:val="0"/>
          <w:numId w:val="5"/>
        </w:numPr>
        <w:spacing w:line="360" w:lineRule="auto"/>
        <w:ind w:left="1701" w:hanging="567"/>
        <w:contextualSpacing w:val="0"/>
        <w:jc w:val="both"/>
        <w:rPr>
          <w:rFonts w:ascii="Book Antiqua" w:hAnsi="Book Antiqua"/>
          <w:sz w:val="23"/>
          <w:szCs w:val="23"/>
        </w:rPr>
      </w:pPr>
      <w:r w:rsidRPr="00293922">
        <w:rPr>
          <w:rFonts w:ascii="Book Antiqua" w:hAnsi="Book Antiqua"/>
          <w:sz w:val="23"/>
          <w:szCs w:val="23"/>
          <w:u w:val="single"/>
        </w:rPr>
        <w:t>Senate House</w:t>
      </w:r>
      <w:r w:rsidRPr="00C3428A">
        <w:rPr>
          <w:rFonts w:ascii="Book Antiqua" w:hAnsi="Book Antiqua"/>
          <w:sz w:val="23"/>
          <w:szCs w:val="23"/>
        </w:rPr>
        <w:t xml:space="preserve"> and </w:t>
      </w:r>
      <w:r w:rsidRPr="00293922">
        <w:rPr>
          <w:rFonts w:ascii="Book Antiqua" w:hAnsi="Book Antiqua"/>
          <w:sz w:val="23"/>
          <w:szCs w:val="23"/>
          <w:u w:val="single"/>
        </w:rPr>
        <w:t>Senate House Yard</w:t>
      </w:r>
      <w:r w:rsidRPr="00C3428A">
        <w:rPr>
          <w:rFonts w:ascii="Book Antiqua" w:hAnsi="Book Antiqua"/>
          <w:sz w:val="23"/>
          <w:szCs w:val="23"/>
        </w:rPr>
        <w:t>, Trinity Street, Cambridge, CB2 1TA. T</w:t>
      </w:r>
      <w:r w:rsidR="00FA3AA7">
        <w:rPr>
          <w:rFonts w:ascii="Book Antiqua" w:hAnsi="Book Antiqua"/>
          <w:sz w:val="23"/>
          <w:szCs w:val="23"/>
        </w:rPr>
        <w:t>ogether with The Old Schools, this</w:t>
      </w:r>
      <w:r w:rsidRPr="00C3428A">
        <w:rPr>
          <w:rFonts w:ascii="Book Antiqua" w:hAnsi="Book Antiqua"/>
          <w:sz w:val="23"/>
          <w:szCs w:val="23"/>
        </w:rPr>
        <w:t xml:space="preserve"> is the ceremonial and administrative </w:t>
      </w:r>
      <w:r w:rsidRPr="00C3428A">
        <w:rPr>
          <w:rFonts w:ascii="Book Antiqua" w:hAnsi="Book Antiqua"/>
          <w:sz w:val="23"/>
          <w:szCs w:val="23"/>
        </w:rPr>
        <w:lastRenderedPageBreak/>
        <w:t xml:space="preserve">heart of the University. It is where degree ceremonies are held and is the official meeting place of the Regent House and of the Senate; and, </w:t>
      </w:r>
    </w:p>
    <w:p w14:paraId="21B25513" w14:textId="7BFF2CCE" w:rsidR="001E0FCD" w:rsidRPr="00C3428A" w:rsidRDefault="0044448D" w:rsidP="001E0FCD">
      <w:pPr>
        <w:pStyle w:val="ListParagraph"/>
        <w:numPr>
          <w:ilvl w:val="0"/>
          <w:numId w:val="5"/>
        </w:numPr>
        <w:spacing w:line="360" w:lineRule="auto"/>
        <w:ind w:left="1701" w:hanging="567"/>
        <w:contextualSpacing w:val="0"/>
        <w:jc w:val="both"/>
        <w:rPr>
          <w:rFonts w:ascii="Book Antiqua" w:hAnsi="Book Antiqua"/>
          <w:sz w:val="23"/>
          <w:szCs w:val="23"/>
        </w:rPr>
      </w:pPr>
      <w:r w:rsidRPr="00293922">
        <w:rPr>
          <w:rFonts w:ascii="Book Antiqua" w:hAnsi="Book Antiqua"/>
          <w:sz w:val="23"/>
          <w:szCs w:val="23"/>
          <w:u w:val="single"/>
        </w:rPr>
        <w:t>The Old Schools</w:t>
      </w:r>
      <w:r w:rsidRPr="00C3428A">
        <w:rPr>
          <w:rFonts w:ascii="Book Antiqua" w:hAnsi="Book Antiqua"/>
          <w:sz w:val="23"/>
          <w:szCs w:val="23"/>
        </w:rPr>
        <w:t xml:space="preserve">, Trinity Lane, Cambridge, CB2 1TN. This is situated next to Senate House and Senate House Yard and, with them, forms one enclosed site (albeit that </w:t>
      </w:r>
      <w:r w:rsidR="0018206B">
        <w:rPr>
          <w:rFonts w:ascii="Book Antiqua" w:hAnsi="Book Antiqua"/>
          <w:sz w:val="23"/>
          <w:szCs w:val="23"/>
        </w:rPr>
        <w:t>T</w:t>
      </w:r>
      <w:r w:rsidR="0018206B" w:rsidRPr="00C3428A">
        <w:rPr>
          <w:rFonts w:ascii="Book Antiqua" w:hAnsi="Book Antiqua"/>
          <w:sz w:val="23"/>
          <w:szCs w:val="23"/>
        </w:rPr>
        <w:t xml:space="preserve">he </w:t>
      </w:r>
      <w:r w:rsidRPr="00C3428A">
        <w:rPr>
          <w:rFonts w:ascii="Book Antiqua" w:hAnsi="Book Antiqua"/>
          <w:sz w:val="23"/>
          <w:szCs w:val="23"/>
        </w:rPr>
        <w:t xml:space="preserve">Old Schools is physically distinct). It houses key University administrative departments. </w:t>
      </w:r>
    </w:p>
    <w:p w14:paraId="04F91DEC" w14:textId="0EBA4E25" w:rsidR="007B0F8C" w:rsidRPr="00C3428A" w:rsidRDefault="007B0F8C" w:rsidP="00E34606">
      <w:pPr>
        <w:pStyle w:val="ListParagraph"/>
        <w:numPr>
          <w:ilvl w:val="0"/>
          <w:numId w:val="3"/>
        </w:numPr>
        <w:spacing w:line="360" w:lineRule="auto"/>
        <w:ind w:left="567" w:hanging="567"/>
        <w:contextualSpacing w:val="0"/>
        <w:jc w:val="both"/>
        <w:rPr>
          <w:rFonts w:ascii="Book Antiqua" w:hAnsi="Book Antiqua"/>
          <w:sz w:val="23"/>
          <w:szCs w:val="23"/>
        </w:rPr>
      </w:pPr>
      <w:r w:rsidRPr="00C3428A">
        <w:rPr>
          <w:rFonts w:ascii="Book Antiqua" w:hAnsi="Book Antiqua"/>
          <w:sz w:val="23"/>
          <w:szCs w:val="23"/>
        </w:rPr>
        <w:t xml:space="preserve">The University is the freehold proprietor of these </w:t>
      </w:r>
      <w:r w:rsidR="00994833" w:rsidRPr="00C3428A">
        <w:rPr>
          <w:rFonts w:ascii="Book Antiqua" w:hAnsi="Book Antiqua"/>
          <w:sz w:val="23"/>
          <w:szCs w:val="23"/>
        </w:rPr>
        <w:t xml:space="preserve">sites. Whilst currently unregistered, this land is pending first registration at Land Registry under title number CB489602. The University’s long-standing ownership and possession of these </w:t>
      </w:r>
      <w:r w:rsidR="00BB0FDC" w:rsidRPr="00C3428A">
        <w:rPr>
          <w:rFonts w:ascii="Book Antiqua" w:hAnsi="Book Antiqua"/>
          <w:sz w:val="23"/>
          <w:szCs w:val="23"/>
        </w:rPr>
        <w:t xml:space="preserve">historic </w:t>
      </w:r>
      <w:r w:rsidR="00994833" w:rsidRPr="00C3428A">
        <w:rPr>
          <w:rFonts w:ascii="Book Antiqua" w:hAnsi="Book Antiqua"/>
          <w:sz w:val="23"/>
          <w:szCs w:val="23"/>
        </w:rPr>
        <w:t xml:space="preserve">sites is demonstrated by the </w:t>
      </w:r>
      <w:r w:rsidR="00BB0FDC" w:rsidRPr="00C3428A">
        <w:rPr>
          <w:rFonts w:ascii="Book Antiqua" w:hAnsi="Book Antiqua"/>
          <w:sz w:val="23"/>
          <w:szCs w:val="23"/>
        </w:rPr>
        <w:t>statutory declaration of Richard Griffin, dated 3 September 2024</w:t>
      </w:r>
      <w:r w:rsidR="000975F1">
        <w:rPr>
          <w:rFonts w:ascii="Book Antiqua" w:hAnsi="Book Antiqua"/>
          <w:sz w:val="23"/>
          <w:szCs w:val="23"/>
        </w:rPr>
        <w:t xml:space="preserve"> </w:t>
      </w:r>
      <w:r w:rsidR="000975F1">
        <w:rPr>
          <w:rFonts w:ascii="Book Antiqua" w:hAnsi="Book Antiqua"/>
          <w:b/>
          <w:bCs/>
          <w:sz w:val="23"/>
          <w:szCs w:val="23"/>
        </w:rPr>
        <w:t>[</w:t>
      </w:r>
      <w:r w:rsidR="00211D7C">
        <w:rPr>
          <w:rFonts w:ascii="Book Antiqua" w:hAnsi="Book Antiqua"/>
          <w:b/>
          <w:bCs/>
          <w:sz w:val="23"/>
          <w:szCs w:val="23"/>
        </w:rPr>
        <w:t>HB</w:t>
      </w:r>
      <w:r w:rsidR="000975F1">
        <w:rPr>
          <w:rFonts w:ascii="Book Antiqua" w:hAnsi="Book Antiqua"/>
          <w:b/>
          <w:bCs/>
          <w:sz w:val="23"/>
          <w:szCs w:val="23"/>
        </w:rPr>
        <w:t>/</w:t>
      </w:r>
      <w:r w:rsidR="005772FE">
        <w:rPr>
          <w:rFonts w:ascii="Book Antiqua" w:hAnsi="Book Antiqua"/>
          <w:b/>
          <w:bCs/>
          <w:sz w:val="23"/>
          <w:szCs w:val="23"/>
        </w:rPr>
        <w:t>7/</w:t>
      </w:r>
      <w:r w:rsidR="000975F1">
        <w:rPr>
          <w:rFonts w:ascii="Book Antiqua" w:hAnsi="Book Antiqua"/>
          <w:b/>
          <w:bCs/>
          <w:sz w:val="23"/>
          <w:szCs w:val="23"/>
        </w:rPr>
        <w:t>105</w:t>
      </w:r>
      <w:r w:rsidR="00F5771C">
        <w:rPr>
          <w:rFonts w:ascii="Book Antiqua" w:hAnsi="Book Antiqua"/>
          <w:b/>
          <w:bCs/>
          <w:sz w:val="23"/>
          <w:szCs w:val="23"/>
        </w:rPr>
        <w:t>(</w:t>
      </w:r>
      <w:r w:rsidR="005772FE">
        <w:rPr>
          <w:rFonts w:ascii="Book Antiqua" w:hAnsi="Book Antiqua"/>
          <w:b/>
          <w:bCs/>
          <w:sz w:val="23"/>
          <w:szCs w:val="23"/>
        </w:rPr>
        <w:t>PDF105</w:t>
      </w:r>
      <w:r w:rsidR="00F5771C">
        <w:rPr>
          <w:rFonts w:ascii="Book Antiqua" w:hAnsi="Book Antiqua"/>
          <w:b/>
          <w:bCs/>
          <w:sz w:val="23"/>
          <w:szCs w:val="23"/>
        </w:rPr>
        <w:t>)</w:t>
      </w:r>
      <w:r w:rsidR="005772FE">
        <w:rPr>
          <w:rFonts w:ascii="Book Antiqua" w:hAnsi="Book Antiqua"/>
          <w:b/>
          <w:bCs/>
          <w:sz w:val="23"/>
          <w:szCs w:val="23"/>
        </w:rPr>
        <w:t>]</w:t>
      </w:r>
      <w:r w:rsidR="00BB0FDC" w:rsidRPr="00C3428A">
        <w:rPr>
          <w:rFonts w:ascii="Book Antiqua" w:hAnsi="Book Antiqua"/>
          <w:sz w:val="23"/>
          <w:szCs w:val="23"/>
        </w:rPr>
        <w:t>.</w:t>
      </w:r>
    </w:p>
    <w:p w14:paraId="239B5EB7" w14:textId="76A7CD19" w:rsidR="00E34606" w:rsidRPr="00C3428A" w:rsidRDefault="00E34606" w:rsidP="00E34606">
      <w:pPr>
        <w:pStyle w:val="ListParagraph"/>
        <w:numPr>
          <w:ilvl w:val="0"/>
          <w:numId w:val="3"/>
        </w:numPr>
        <w:spacing w:line="360" w:lineRule="auto"/>
        <w:ind w:left="567" w:hanging="567"/>
        <w:contextualSpacing w:val="0"/>
        <w:jc w:val="both"/>
        <w:rPr>
          <w:rFonts w:ascii="Book Antiqua" w:hAnsi="Book Antiqua"/>
          <w:sz w:val="23"/>
          <w:szCs w:val="23"/>
        </w:rPr>
      </w:pPr>
      <w:r w:rsidRPr="00C3428A">
        <w:rPr>
          <w:rFonts w:ascii="Book Antiqua" w:hAnsi="Book Antiqua"/>
          <w:sz w:val="23"/>
          <w:szCs w:val="23"/>
        </w:rPr>
        <w:t>Plan 2</w:t>
      </w:r>
      <w:r w:rsidR="00A6621B" w:rsidRPr="00C3428A">
        <w:rPr>
          <w:rFonts w:ascii="Book Antiqua" w:hAnsi="Book Antiqua"/>
          <w:sz w:val="23"/>
          <w:szCs w:val="23"/>
        </w:rPr>
        <w:t xml:space="preserve"> </w:t>
      </w:r>
      <w:r w:rsidR="00D86C41">
        <w:rPr>
          <w:rFonts w:ascii="Book Antiqua" w:hAnsi="Book Antiqua"/>
          <w:b/>
          <w:bCs/>
          <w:sz w:val="23"/>
          <w:szCs w:val="23"/>
        </w:rPr>
        <w:t>[</w:t>
      </w:r>
      <w:r w:rsidR="00211D7C">
        <w:rPr>
          <w:rFonts w:ascii="Book Antiqua" w:hAnsi="Book Antiqua"/>
          <w:b/>
          <w:bCs/>
          <w:sz w:val="23"/>
          <w:szCs w:val="23"/>
        </w:rPr>
        <w:t>HB</w:t>
      </w:r>
      <w:r w:rsidR="00D86C41">
        <w:rPr>
          <w:rFonts w:ascii="Book Antiqua" w:hAnsi="Book Antiqua"/>
          <w:b/>
          <w:bCs/>
          <w:sz w:val="23"/>
          <w:szCs w:val="23"/>
        </w:rPr>
        <w:t>/</w:t>
      </w:r>
      <w:r w:rsidR="005772FE">
        <w:rPr>
          <w:rFonts w:ascii="Book Antiqua" w:hAnsi="Book Antiqua"/>
          <w:b/>
          <w:bCs/>
          <w:sz w:val="23"/>
          <w:szCs w:val="23"/>
        </w:rPr>
        <w:t>1/</w:t>
      </w:r>
      <w:r w:rsidR="00D86C41">
        <w:rPr>
          <w:rFonts w:ascii="Book Antiqua" w:hAnsi="Book Antiqua"/>
          <w:b/>
          <w:bCs/>
          <w:sz w:val="23"/>
          <w:szCs w:val="23"/>
        </w:rPr>
        <w:t>8</w:t>
      </w:r>
      <w:r w:rsidR="00F5771C">
        <w:rPr>
          <w:rFonts w:ascii="Book Antiqua" w:hAnsi="Book Antiqua"/>
          <w:b/>
          <w:bCs/>
          <w:sz w:val="23"/>
          <w:szCs w:val="23"/>
        </w:rPr>
        <w:t>(</w:t>
      </w:r>
      <w:r w:rsidR="005772FE">
        <w:rPr>
          <w:rFonts w:ascii="Book Antiqua" w:hAnsi="Book Antiqua"/>
          <w:b/>
          <w:bCs/>
          <w:sz w:val="23"/>
          <w:szCs w:val="23"/>
        </w:rPr>
        <w:t>PDF10</w:t>
      </w:r>
      <w:r w:rsidR="00F5771C">
        <w:rPr>
          <w:rFonts w:ascii="Book Antiqua" w:hAnsi="Book Antiqua"/>
          <w:b/>
          <w:bCs/>
          <w:sz w:val="23"/>
          <w:szCs w:val="23"/>
        </w:rPr>
        <w:t>)</w:t>
      </w:r>
      <w:r w:rsidR="005772FE">
        <w:rPr>
          <w:rFonts w:ascii="Book Antiqua" w:hAnsi="Book Antiqua"/>
          <w:b/>
          <w:bCs/>
          <w:sz w:val="23"/>
          <w:szCs w:val="23"/>
        </w:rPr>
        <w:t>]</w:t>
      </w:r>
      <w:r w:rsidR="00D86C41">
        <w:rPr>
          <w:rFonts w:ascii="Book Antiqua" w:hAnsi="Book Antiqua"/>
          <w:b/>
          <w:bCs/>
          <w:sz w:val="23"/>
          <w:szCs w:val="23"/>
        </w:rPr>
        <w:t xml:space="preserve"> </w:t>
      </w:r>
      <w:r w:rsidR="00A6621B" w:rsidRPr="00C3428A">
        <w:rPr>
          <w:rFonts w:ascii="Book Antiqua" w:hAnsi="Book Antiqua"/>
          <w:sz w:val="23"/>
          <w:szCs w:val="23"/>
        </w:rPr>
        <w:t>shows</w:t>
      </w:r>
      <w:r w:rsidR="007B0F8C" w:rsidRPr="00C3428A">
        <w:rPr>
          <w:rFonts w:ascii="Book Antiqua" w:hAnsi="Book Antiqua"/>
          <w:sz w:val="23"/>
          <w:szCs w:val="23"/>
        </w:rPr>
        <w:t xml:space="preserve"> </w:t>
      </w:r>
      <w:r w:rsidR="007B0F8C" w:rsidRPr="00293922">
        <w:rPr>
          <w:rFonts w:ascii="Book Antiqua" w:hAnsi="Book Antiqua"/>
          <w:sz w:val="23"/>
          <w:szCs w:val="23"/>
          <w:u w:val="single"/>
        </w:rPr>
        <w:t>Greenwich House</w:t>
      </w:r>
      <w:r w:rsidR="007B0F8C" w:rsidRPr="00C3428A">
        <w:rPr>
          <w:rFonts w:ascii="Book Antiqua" w:hAnsi="Book Antiqua"/>
          <w:sz w:val="23"/>
          <w:szCs w:val="23"/>
        </w:rPr>
        <w:t xml:space="preserve">, Madingley Rise, Cambridge, CB3 0TX. This is an administrative office building accommodating approximately 500 of the University’s employees. </w:t>
      </w:r>
      <w:r w:rsidRPr="00C3428A">
        <w:rPr>
          <w:rFonts w:ascii="Book Antiqua" w:hAnsi="Book Antiqua"/>
          <w:sz w:val="23"/>
          <w:szCs w:val="23"/>
        </w:rPr>
        <w:t xml:space="preserve"> </w:t>
      </w:r>
    </w:p>
    <w:p w14:paraId="3D239988" w14:textId="687E1E45" w:rsidR="007B0F8C" w:rsidRDefault="007B0F8C" w:rsidP="00E34606">
      <w:pPr>
        <w:pStyle w:val="ListParagraph"/>
        <w:numPr>
          <w:ilvl w:val="0"/>
          <w:numId w:val="3"/>
        </w:numPr>
        <w:spacing w:line="360" w:lineRule="auto"/>
        <w:ind w:left="567" w:hanging="567"/>
        <w:contextualSpacing w:val="0"/>
        <w:jc w:val="both"/>
        <w:rPr>
          <w:rFonts w:ascii="Book Antiqua" w:hAnsi="Book Antiqua"/>
          <w:sz w:val="23"/>
          <w:szCs w:val="23"/>
        </w:rPr>
      </w:pPr>
      <w:r w:rsidRPr="00C3428A">
        <w:rPr>
          <w:rFonts w:ascii="Book Antiqua" w:hAnsi="Book Antiqua"/>
          <w:sz w:val="23"/>
          <w:szCs w:val="23"/>
        </w:rPr>
        <w:t>The University is the registered freehold proprietor of Greenwich House under title number CB337595</w:t>
      </w:r>
      <w:r w:rsidR="00FE21C2">
        <w:rPr>
          <w:rFonts w:ascii="Book Antiqua" w:hAnsi="Book Antiqua"/>
          <w:sz w:val="23"/>
          <w:szCs w:val="23"/>
        </w:rPr>
        <w:t xml:space="preserve"> </w:t>
      </w:r>
      <w:r w:rsidR="00FE21C2">
        <w:rPr>
          <w:rFonts w:ascii="Book Antiqua" w:hAnsi="Book Antiqua"/>
          <w:b/>
          <w:bCs/>
          <w:sz w:val="23"/>
          <w:szCs w:val="23"/>
        </w:rPr>
        <w:t>[</w:t>
      </w:r>
      <w:r w:rsidR="00211D7C">
        <w:rPr>
          <w:rFonts w:ascii="Book Antiqua" w:hAnsi="Book Antiqua"/>
          <w:b/>
          <w:bCs/>
          <w:sz w:val="23"/>
          <w:szCs w:val="23"/>
        </w:rPr>
        <w:t>HB</w:t>
      </w:r>
      <w:r w:rsidR="00FE21C2">
        <w:rPr>
          <w:rFonts w:ascii="Book Antiqua" w:hAnsi="Book Antiqua"/>
          <w:b/>
          <w:bCs/>
          <w:sz w:val="23"/>
          <w:szCs w:val="23"/>
        </w:rPr>
        <w:t>/</w:t>
      </w:r>
      <w:r w:rsidR="005772FE">
        <w:rPr>
          <w:rFonts w:ascii="Book Antiqua" w:hAnsi="Book Antiqua"/>
          <w:b/>
          <w:bCs/>
          <w:sz w:val="23"/>
          <w:szCs w:val="23"/>
        </w:rPr>
        <w:t>7/</w:t>
      </w:r>
      <w:r w:rsidR="00FE21C2">
        <w:rPr>
          <w:rFonts w:ascii="Book Antiqua" w:hAnsi="Book Antiqua"/>
          <w:b/>
          <w:bCs/>
          <w:sz w:val="23"/>
          <w:szCs w:val="23"/>
        </w:rPr>
        <w:t>86</w:t>
      </w:r>
      <w:r w:rsidR="00F5771C">
        <w:rPr>
          <w:rFonts w:ascii="Book Antiqua" w:hAnsi="Book Antiqua"/>
          <w:b/>
          <w:bCs/>
          <w:sz w:val="23"/>
          <w:szCs w:val="23"/>
        </w:rPr>
        <w:t>(</w:t>
      </w:r>
      <w:r w:rsidR="005772FE">
        <w:rPr>
          <w:rFonts w:ascii="Book Antiqua" w:hAnsi="Book Antiqua"/>
          <w:b/>
          <w:bCs/>
          <w:sz w:val="23"/>
          <w:szCs w:val="23"/>
        </w:rPr>
        <w:t>PDF88</w:t>
      </w:r>
      <w:r w:rsidR="00F5771C">
        <w:rPr>
          <w:rFonts w:ascii="Book Antiqua" w:hAnsi="Book Antiqua"/>
          <w:b/>
          <w:bCs/>
          <w:sz w:val="23"/>
          <w:szCs w:val="23"/>
        </w:rPr>
        <w:t>)</w:t>
      </w:r>
      <w:r w:rsidR="005772FE">
        <w:rPr>
          <w:rFonts w:ascii="Book Antiqua" w:hAnsi="Book Antiqua"/>
          <w:b/>
          <w:bCs/>
          <w:sz w:val="23"/>
          <w:szCs w:val="23"/>
        </w:rPr>
        <w:t>]</w:t>
      </w:r>
      <w:r w:rsidRPr="00C3428A">
        <w:rPr>
          <w:rFonts w:ascii="Book Antiqua" w:hAnsi="Book Antiqua"/>
          <w:sz w:val="23"/>
          <w:szCs w:val="23"/>
        </w:rPr>
        <w:t>.</w:t>
      </w:r>
    </w:p>
    <w:p w14:paraId="2E305693" w14:textId="59376C48" w:rsidR="00414419" w:rsidRPr="00143825" w:rsidRDefault="00EE2521" w:rsidP="00143825">
      <w:pPr>
        <w:pStyle w:val="ListParagraph"/>
        <w:numPr>
          <w:ilvl w:val="0"/>
          <w:numId w:val="3"/>
        </w:numPr>
        <w:spacing w:line="360" w:lineRule="auto"/>
        <w:ind w:left="567" w:hanging="567"/>
        <w:contextualSpacing w:val="0"/>
        <w:jc w:val="both"/>
        <w:rPr>
          <w:rFonts w:ascii="Book Antiqua" w:hAnsi="Book Antiqua"/>
          <w:sz w:val="23"/>
          <w:szCs w:val="23"/>
        </w:rPr>
      </w:pPr>
      <w:r>
        <w:rPr>
          <w:rFonts w:ascii="Book Antiqua" w:hAnsi="Book Antiqua"/>
          <w:sz w:val="23"/>
          <w:szCs w:val="23"/>
        </w:rPr>
        <w:t xml:space="preserve">The position on access to </w:t>
      </w:r>
      <w:r w:rsidR="00A64EDC">
        <w:rPr>
          <w:rFonts w:ascii="Book Antiqua" w:hAnsi="Book Antiqua"/>
          <w:sz w:val="23"/>
          <w:szCs w:val="23"/>
        </w:rPr>
        <w:t xml:space="preserve">the Land is set out in Rampton 1, §§15-27 </w:t>
      </w:r>
      <w:r w:rsidR="00A64EDC">
        <w:rPr>
          <w:rFonts w:ascii="Book Antiqua" w:hAnsi="Book Antiqua"/>
          <w:b/>
          <w:bCs/>
          <w:sz w:val="23"/>
          <w:szCs w:val="23"/>
        </w:rPr>
        <w:t>[</w:t>
      </w:r>
      <w:r w:rsidR="00211D7C">
        <w:rPr>
          <w:rFonts w:ascii="Book Antiqua" w:hAnsi="Book Antiqua"/>
          <w:b/>
          <w:bCs/>
          <w:sz w:val="23"/>
          <w:szCs w:val="23"/>
        </w:rPr>
        <w:t>HB</w:t>
      </w:r>
      <w:r w:rsidR="00A64EDC">
        <w:rPr>
          <w:rFonts w:ascii="Book Antiqua" w:hAnsi="Book Antiqua"/>
          <w:b/>
          <w:bCs/>
          <w:sz w:val="23"/>
          <w:szCs w:val="23"/>
        </w:rPr>
        <w:t>/</w:t>
      </w:r>
      <w:r w:rsidR="005772FE">
        <w:rPr>
          <w:rFonts w:ascii="Book Antiqua" w:hAnsi="Book Antiqua"/>
          <w:b/>
          <w:bCs/>
          <w:sz w:val="23"/>
          <w:szCs w:val="23"/>
        </w:rPr>
        <w:t>6/</w:t>
      </w:r>
      <w:r w:rsidR="00A64EDC">
        <w:rPr>
          <w:rFonts w:ascii="Book Antiqua" w:hAnsi="Book Antiqua"/>
          <w:b/>
          <w:bCs/>
          <w:sz w:val="23"/>
          <w:szCs w:val="23"/>
        </w:rPr>
        <w:t>47</w:t>
      </w:r>
      <w:r w:rsidR="00F5771C">
        <w:rPr>
          <w:rFonts w:ascii="Book Antiqua" w:hAnsi="Book Antiqua"/>
          <w:b/>
          <w:bCs/>
          <w:sz w:val="23"/>
          <w:szCs w:val="23"/>
        </w:rPr>
        <w:t>(</w:t>
      </w:r>
      <w:r w:rsidR="005772FE">
        <w:rPr>
          <w:rFonts w:ascii="Book Antiqua" w:hAnsi="Book Antiqua"/>
          <w:b/>
          <w:bCs/>
          <w:sz w:val="23"/>
          <w:szCs w:val="23"/>
        </w:rPr>
        <w:t>PDF49-5</w:t>
      </w:r>
      <w:r w:rsidR="009F46A7">
        <w:rPr>
          <w:rFonts w:ascii="Book Antiqua" w:hAnsi="Book Antiqua"/>
          <w:b/>
          <w:bCs/>
          <w:sz w:val="23"/>
          <w:szCs w:val="23"/>
        </w:rPr>
        <w:t>3</w:t>
      </w:r>
      <w:r w:rsidR="00F5771C">
        <w:rPr>
          <w:rFonts w:ascii="Book Antiqua" w:hAnsi="Book Antiqua"/>
          <w:b/>
          <w:bCs/>
          <w:sz w:val="23"/>
          <w:szCs w:val="23"/>
        </w:rPr>
        <w:t>)]</w:t>
      </w:r>
      <w:r w:rsidR="00AC1CCC">
        <w:rPr>
          <w:rFonts w:ascii="Book Antiqua" w:hAnsi="Book Antiqua"/>
          <w:b/>
          <w:bCs/>
          <w:sz w:val="23"/>
          <w:szCs w:val="23"/>
        </w:rPr>
        <w:t xml:space="preserve">, </w:t>
      </w:r>
      <w:r w:rsidR="00AC1CCC">
        <w:rPr>
          <w:rFonts w:ascii="Book Antiqua" w:hAnsi="Book Antiqua"/>
          <w:sz w:val="23"/>
          <w:szCs w:val="23"/>
        </w:rPr>
        <w:t xml:space="preserve">and photos can be seen at </w:t>
      </w:r>
      <w:r w:rsidR="00211D7C">
        <w:rPr>
          <w:rFonts w:ascii="Book Antiqua" w:hAnsi="Book Antiqua"/>
          <w:b/>
          <w:bCs/>
          <w:sz w:val="23"/>
          <w:szCs w:val="23"/>
        </w:rPr>
        <w:t>HB</w:t>
      </w:r>
      <w:r w:rsidR="00AC1CCC">
        <w:rPr>
          <w:rFonts w:ascii="Book Antiqua" w:hAnsi="Book Antiqua"/>
          <w:b/>
          <w:bCs/>
          <w:sz w:val="23"/>
          <w:szCs w:val="23"/>
        </w:rPr>
        <w:t>/</w:t>
      </w:r>
      <w:r w:rsidR="009F46A7">
        <w:rPr>
          <w:rFonts w:ascii="Book Antiqua" w:hAnsi="Book Antiqua"/>
          <w:b/>
          <w:bCs/>
          <w:sz w:val="23"/>
          <w:szCs w:val="23"/>
        </w:rPr>
        <w:t>7/</w:t>
      </w:r>
      <w:r w:rsidR="00AC1CCC">
        <w:rPr>
          <w:rFonts w:ascii="Book Antiqua" w:hAnsi="Book Antiqua"/>
          <w:b/>
          <w:bCs/>
          <w:sz w:val="23"/>
          <w:szCs w:val="23"/>
        </w:rPr>
        <w:t>111-113</w:t>
      </w:r>
      <w:r w:rsidR="009F46A7">
        <w:rPr>
          <w:rFonts w:ascii="Book Antiqua" w:hAnsi="Book Antiqua"/>
          <w:b/>
          <w:bCs/>
          <w:sz w:val="23"/>
          <w:szCs w:val="23"/>
        </w:rPr>
        <w:t xml:space="preserve"> </w:t>
      </w:r>
      <w:r w:rsidR="00F5771C">
        <w:rPr>
          <w:rFonts w:ascii="Book Antiqua" w:hAnsi="Book Antiqua"/>
          <w:b/>
          <w:bCs/>
          <w:sz w:val="23"/>
          <w:szCs w:val="23"/>
        </w:rPr>
        <w:t>(</w:t>
      </w:r>
      <w:r w:rsidR="009F46A7">
        <w:rPr>
          <w:rFonts w:ascii="Book Antiqua" w:hAnsi="Book Antiqua"/>
          <w:b/>
          <w:bCs/>
          <w:sz w:val="23"/>
          <w:szCs w:val="23"/>
        </w:rPr>
        <w:t>PDF113-115</w:t>
      </w:r>
      <w:r w:rsidR="00F5771C">
        <w:rPr>
          <w:rFonts w:ascii="Book Antiqua" w:hAnsi="Book Antiqua"/>
          <w:b/>
          <w:bCs/>
          <w:sz w:val="23"/>
          <w:szCs w:val="23"/>
        </w:rPr>
        <w:t>)</w:t>
      </w:r>
      <w:r w:rsidR="00A64EDC">
        <w:rPr>
          <w:rFonts w:ascii="Book Antiqua" w:hAnsi="Book Antiqua"/>
          <w:sz w:val="23"/>
          <w:szCs w:val="23"/>
        </w:rPr>
        <w:t>.</w:t>
      </w:r>
    </w:p>
    <w:p w14:paraId="089CEF15" w14:textId="77777777" w:rsidR="004A0140" w:rsidRDefault="004A0140" w:rsidP="00E34606">
      <w:pPr>
        <w:pStyle w:val="ListParagraph"/>
        <w:spacing w:line="360" w:lineRule="auto"/>
        <w:ind w:left="567"/>
        <w:contextualSpacing w:val="0"/>
        <w:jc w:val="both"/>
        <w:rPr>
          <w:rFonts w:ascii="Book Antiqua" w:hAnsi="Book Antiqua"/>
          <w:b/>
          <w:bCs/>
          <w:sz w:val="6"/>
          <w:szCs w:val="6"/>
          <w:u w:val="single"/>
        </w:rPr>
      </w:pPr>
    </w:p>
    <w:p w14:paraId="3D79598A" w14:textId="77777777" w:rsidR="004A0140" w:rsidRPr="00C3428A" w:rsidRDefault="004A0140" w:rsidP="00E34606">
      <w:pPr>
        <w:pStyle w:val="ListParagraph"/>
        <w:spacing w:line="360" w:lineRule="auto"/>
        <w:ind w:left="567"/>
        <w:contextualSpacing w:val="0"/>
        <w:jc w:val="both"/>
        <w:rPr>
          <w:rFonts w:ascii="Book Antiqua" w:hAnsi="Book Antiqua"/>
          <w:b/>
          <w:bCs/>
          <w:sz w:val="6"/>
          <w:szCs w:val="6"/>
          <w:u w:val="single"/>
        </w:rPr>
      </w:pPr>
    </w:p>
    <w:p w14:paraId="36AFCA5D" w14:textId="5721484A" w:rsidR="0085668E" w:rsidRPr="0085668E" w:rsidRDefault="00090BA7" w:rsidP="0085668E">
      <w:pPr>
        <w:pStyle w:val="ListParagraph"/>
        <w:numPr>
          <w:ilvl w:val="0"/>
          <w:numId w:val="2"/>
        </w:numPr>
        <w:spacing w:line="360" w:lineRule="auto"/>
        <w:ind w:left="567" w:hanging="567"/>
        <w:contextualSpacing w:val="0"/>
        <w:jc w:val="both"/>
        <w:rPr>
          <w:rFonts w:ascii="Book Antiqua" w:hAnsi="Book Antiqua"/>
          <w:b/>
          <w:bCs/>
          <w:sz w:val="23"/>
          <w:szCs w:val="23"/>
          <w:u w:val="single"/>
        </w:rPr>
      </w:pPr>
      <w:r w:rsidRPr="00C3428A">
        <w:rPr>
          <w:rFonts w:ascii="Book Antiqua" w:hAnsi="Book Antiqua"/>
          <w:b/>
          <w:bCs/>
          <w:sz w:val="23"/>
          <w:szCs w:val="23"/>
          <w:u w:val="single"/>
        </w:rPr>
        <w:t>NOTIFICATION</w:t>
      </w:r>
    </w:p>
    <w:p w14:paraId="431D8896" w14:textId="286B47D7" w:rsidR="00090BA7" w:rsidRDefault="00EE3505" w:rsidP="00090BA7">
      <w:pPr>
        <w:pStyle w:val="ListParagraph"/>
        <w:numPr>
          <w:ilvl w:val="0"/>
          <w:numId w:val="3"/>
        </w:numPr>
        <w:spacing w:line="360" w:lineRule="auto"/>
        <w:ind w:left="567" w:hanging="567"/>
        <w:contextualSpacing w:val="0"/>
        <w:jc w:val="both"/>
        <w:rPr>
          <w:rFonts w:ascii="Book Antiqua" w:hAnsi="Book Antiqua"/>
          <w:sz w:val="23"/>
          <w:szCs w:val="23"/>
        </w:rPr>
      </w:pPr>
      <w:r w:rsidRPr="00C3428A">
        <w:rPr>
          <w:rFonts w:ascii="Book Antiqua" w:hAnsi="Book Antiqua"/>
          <w:sz w:val="23"/>
          <w:szCs w:val="23"/>
        </w:rPr>
        <w:t>As the Defendants are Persons Unknown,</w:t>
      </w:r>
      <w:r w:rsidR="00201A3D" w:rsidRPr="00C3428A">
        <w:rPr>
          <w:rFonts w:ascii="Book Antiqua" w:hAnsi="Book Antiqua"/>
          <w:sz w:val="23"/>
          <w:szCs w:val="23"/>
        </w:rPr>
        <w:t xml:space="preserve"> notice of this application in the usual sense is not possible:</w:t>
      </w:r>
      <w:r w:rsidRPr="00C3428A">
        <w:rPr>
          <w:rFonts w:ascii="Book Antiqua" w:hAnsi="Book Antiqua"/>
          <w:sz w:val="23"/>
          <w:szCs w:val="23"/>
        </w:rPr>
        <w:t xml:space="preserve"> </w:t>
      </w:r>
      <w:r w:rsidR="00016C6B" w:rsidRPr="00C3428A">
        <w:rPr>
          <w:rFonts w:ascii="Book Antiqua" w:hAnsi="Book Antiqua"/>
          <w:sz w:val="23"/>
          <w:szCs w:val="23"/>
          <w:u w:val="single"/>
        </w:rPr>
        <w:t>Wolverhampton CC v London Gypsies &amp; Travellers</w:t>
      </w:r>
      <w:r w:rsidR="00016C6B" w:rsidRPr="00C3428A">
        <w:rPr>
          <w:rFonts w:ascii="Book Antiqua" w:hAnsi="Book Antiqua"/>
          <w:sz w:val="23"/>
          <w:szCs w:val="23"/>
        </w:rPr>
        <w:t xml:space="preserve"> [2024] </w:t>
      </w:r>
      <w:r w:rsidR="00650877">
        <w:rPr>
          <w:rFonts w:ascii="Book Antiqua" w:hAnsi="Book Antiqua"/>
          <w:sz w:val="23"/>
          <w:szCs w:val="23"/>
        </w:rPr>
        <w:t>AC 983</w:t>
      </w:r>
      <w:r w:rsidR="00016C6B" w:rsidRPr="00C3428A">
        <w:rPr>
          <w:rFonts w:ascii="Book Antiqua" w:hAnsi="Book Antiqua"/>
          <w:sz w:val="23"/>
          <w:szCs w:val="23"/>
        </w:rPr>
        <w:t xml:space="preserve"> (“</w:t>
      </w:r>
      <w:r w:rsidR="00016C6B" w:rsidRPr="00C3428A">
        <w:rPr>
          <w:rFonts w:ascii="Book Antiqua" w:hAnsi="Book Antiqua"/>
          <w:b/>
          <w:bCs/>
          <w:sz w:val="23"/>
          <w:szCs w:val="23"/>
          <w:u w:val="single"/>
        </w:rPr>
        <w:t>Wolverhampton CC</w:t>
      </w:r>
      <w:r w:rsidR="00016C6B" w:rsidRPr="00C3428A">
        <w:rPr>
          <w:rFonts w:ascii="Book Antiqua" w:hAnsi="Book Antiqua"/>
          <w:sz w:val="23"/>
          <w:szCs w:val="23"/>
        </w:rPr>
        <w:t>”)</w:t>
      </w:r>
      <w:r w:rsidR="00F11553" w:rsidRPr="00C3428A">
        <w:rPr>
          <w:rFonts w:ascii="Book Antiqua" w:hAnsi="Book Antiqua"/>
          <w:sz w:val="23"/>
          <w:szCs w:val="23"/>
        </w:rPr>
        <w:t xml:space="preserve">, </w:t>
      </w:r>
      <w:r w:rsidR="00DE6879" w:rsidRPr="00C3428A">
        <w:rPr>
          <w:rFonts w:ascii="Book Antiqua" w:hAnsi="Book Antiqua"/>
          <w:sz w:val="23"/>
          <w:szCs w:val="23"/>
        </w:rPr>
        <w:t>§§132, 139, 142, 167(ii), 176-177</w:t>
      </w:r>
      <w:r w:rsidR="00E53B4E">
        <w:rPr>
          <w:rFonts w:ascii="Book Antiqua" w:hAnsi="Book Antiqua"/>
          <w:sz w:val="23"/>
          <w:szCs w:val="23"/>
        </w:rPr>
        <w:t xml:space="preserve"> </w:t>
      </w:r>
      <w:r w:rsidR="00E53B4E">
        <w:rPr>
          <w:rFonts w:ascii="Book Antiqua" w:hAnsi="Book Antiqua"/>
          <w:b/>
          <w:bCs/>
          <w:sz w:val="23"/>
          <w:szCs w:val="23"/>
        </w:rPr>
        <w:t>[AB/6/</w:t>
      </w:r>
      <w:r w:rsidR="00244CFB">
        <w:rPr>
          <w:rFonts w:ascii="Book Antiqua" w:hAnsi="Book Antiqua"/>
          <w:b/>
          <w:bCs/>
          <w:sz w:val="23"/>
          <w:szCs w:val="23"/>
        </w:rPr>
        <w:t>127</w:t>
      </w:r>
      <w:r w:rsidR="00E53B4E">
        <w:rPr>
          <w:rFonts w:ascii="Book Antiqua" w:hAnsi="Book Antiqua"/>
          <w:b/>
          <w:bCs/>
          <w:sz w:val="23"/>
          <w:szCs w:val="23"/>
        </w:rPr>
        <w:t>]</w:t>
      </w:r>
      <w:r w:rsidR="00DE6879" w:rsidRPr="00C3428A">
        <w:rPr>
          <w:rFonts w:ascii="Book Antiqua" w:hAnsi="Book Antiqua"/>
          <w:sz w:val="23"/>
          <w:szCs w:val="23"/>
        </w:rPr>
        <w:t xml:space="preserve">. </w:t>
      </w:r>
      <w:r w:rsidR="00850705" w:rsidRPr="00C3428A">
        <w:rPr>
          <w:rFonts w:ascii="Book Antiqua" w:hAnsi="Book Antiqua"/>
          <w:sz w:val="23"/>
          <w:szCs w:val="23"/>
        </w:rPr>
        <w:t xml:space="preserve">Rather, </w:t>
      </w:r>
      <w:r w:rsidR="00CC413C" w:rsidRPr="00C3428A">
        <w:rPr>
          <w:rFonts w:ascii="Book Antiqua" w:hAnsi="Book Antiqua"/>
          <w:sz w:val="23"/>
          <w:szCs w:val="23"/>
        </w:rPr>
        <w:t xml:space="preserve">the University </w:t>
      </w:r>
      <w:r w:rsidR="00F40933" w:rsidRPr="00C3428A">
        <w:rPr>
          <w:rFonts w:ascii="Book Antiqua" w:hAnsi="Book Antiqua"/>
          <w:sz w:val="23"/>
          <w:szCs w:val="23"/>
        </w:rPr>
        <w:t>“</w:t>
      </w:r>
      <w:r w:rsidR="00CC413C" w:rsidRPr="00C3428A">
        <w:rPr>
          <w:rFonts w:ascii="Book Antiqua" w:hAnsi="Book Antiqua"/>
          <w:i/>
          <w:iCs/>
          <w:sz w:val="23"/>
          <w:szCs w:val="23"/>
        </w:rPr>
        <w:t>must take reasonable steps to draw the application to the attention of persons likely to be affected by the injunction sought or with some other genuine and proper interest in the application</w:t>
      </w:r>
      <w:r w:rsidR="00F40933" w:rsidRPr="00C3428A">
        <w:rPr>
          <w:rFonts w:ascii="Book Antiqua" w:hAnsi="Book Antiqua"/>
          <w:sz w:val="23"/>
          <w:szCs w:val="23"/>
        </w:rPr>
        <w:t xml:space="preserve">”: </w:t>
      </w:r>
      <w:r w:rsidR="00F40933" w:rsidRPr="00C3428A">
        <w:rPr>
          <w:rFonts w:ascii="Book Antiqua" w:hAnsi="Book Antiqua"/>
          <w:sz w:val="23"/>
          <w:szCs w:val="23"/>
          <w:u w:val="single"/>
        </w:rPr>
        <w:t>Wolverhampton CC</w:t>
      </w:r>
      <w:r w:rsidR="00F40933" w:rsidRPr="00C3428A">
        <w:rPr>
          <w:rFonts w:ascii="Book Antiqua" w:hAnsi="Book Antiqua"/>
          <w:sz w:val="23"/>
          <w:szCs w:val="23"/>
        </w:rPr>
        <w:t>, §226</w:t>
      </w:r>
      <w:r w:rsidR="00244CFB">
        <w:rPr>
          <w:rFonts w:ascii="Book Antiqua" w:hAnsi="Book Antiqua"/>
          <w:sz w:val="23"/>
          <w:szCs w:val="23"/>
        </w:rPr>
        <w:t xml:space="preserve"> </w:t>
      </w:r>
      <w:r w:rsidR="00244CFB">
        <w:rPr>
          <w:rFonts w:ascii="Book Antiqua" w:hAnsi="Book Antiqua"/>
          <w:b/>
          <w:bCs/>
          <w:sz w:val="23"/>
          <w:szCs w:val="23"/>
        </w:rPr>
        <w:t>[AB/6/</w:t>
      </w:r>
      <w:r w:rsidR="007C1CB2">
        <w:rPr>
          <w:rFonts w:ascii="Book Antiqua" w:hAnsi="Book Antiqua"/>
          <w:b/>
          <w:bCs/>
          <w:sz w:val="23"/>
          <w:szCs w:val="23"/>
        </w:rPr>
        <w:t>202</w:t>
      </w:r>
      <w:r w:rsidR="00244CFB">
        <w:rPr>
          <w:rFonts w:ascii="Book Antiqua" w:hAnsi="Book Antiqua"/>
          <w:b/>
          <w:bCs/>
          <w:sz w:val="23"/>
          <w:szCs w:val="23"/>
        </w:rPr>
        <w:t>]</w:t>
      </w:r>
      <w:r w:rsidR="00F40933" w:rsidRPr="00C3428A">
        <w:rPr>
          <w:rFonts w:ascii="Book Antiqua" w:hAnsi="Book Antiqua"/>
          <w:sz w:val="23"/>
          <w:szCs w:val="23"/>
        </w:rPr>
        <w:t>.</w:t>
      </w:r>
    </w:p>
    <w:p w14:paraId="6DE9F968" w14:textId="27D95782" w:rsidR="0085668E" w:rsidRPr="0085668E" w:rsidRDefault="0085668E" w:rsidP="0085668E">
      <w:pPr>
        <w:pStyle w:val="ListParagraph"/>
        <w:numPr>
          <w:ilvl w:val="0"/>
          <w:numId w:val="16"/>
        </w:numPr>
        <w:spacing w:line="360" w:lineRule="auto"/>
        <w:ind w:left="1134" w:hanging="567"/>
        <w:contextualSpacing w:val="0"/>
        <w:jc w:val="both"/>
        <w:rPr>
          <w:rFonts w:ascii="Book Antiqua" w:hAnsi="Book Antiqua"/>
          <w:b/>
          <w:bCs/>
          <w:sz w:val="23"/>
          <w:szCs w:val="23"/>
        </w:rPr>
      </w:pPr>
      <w:r>
        <w:rPr>
          <w:rFonts w:ascii="Book Antiqua" w:hAnsi="Book Antiqua"/>
          <w:b/>
          <w:bCs/>
          <w:sz w:val="23"/>
          <w:szCs w:val="23"/>
        </w:rPr>
        <w:t>The claim and application</w:t>
      </w:r>
    </w:p>
    <w:p w14:paraId="7F63D1DA" w14:textId="24C189ED" w:rsidR="00F40933" w:rsidRPr="00C3428A" w:rsidRDefault="00F40933" w:rsidP="00090BA7">
      <w:pPr>
        <w:pStyle w:val="ListParagraph"/>
        <w:numPr>
          <w:ilvl w:val="0"/>
          <w:numId w:val="3"/>
        </w:numPr>
        <w:spacing w:line="360" w:lineRule="auto"/>
        <w:ind w:left="567" w:hanging="567"/>
        <w:contextualSpacing w:val="0"/>
        <w:jc w:val="both"/>
        <w:rPr>
          <w:rFonts w:ascii="Book Antiqua" w:hAnsi="Book Antiqua"/>
          <w:sz w:val="23"/>
          <w:szCs w:val="23"/>
        </w:rPr>
      </w:pPr>
      <w:r w:rsidRPr="00C3428A">
        <w:rPr>
          <w:rFonts w:ascii="Book Antiqua" w:hAnsi="Book Antiqua"/>
          <w:sz w:val="23"/>
          <w:szCs w:val="23"/>
        </w:rPr>
        <w:lastRenderedPageBreak/>
        <w:t xml:space="preserve">The </w:t>
      </w:r>
      <w:r w:rsidR="005F7193" w:rsidRPr="00C3428A">
        <w:rPr>
          <w:rFonts w:ascii="Book Antiqua" w:hAnsi="Book Antiqua"/>
          <w:sz w:val="23"/>
          <w:szCs w:val="23"/>
        </w:rPr>
        <w:t>University has done so by taking the following steps</w:t>
      </w:r>
      <w:r w:rsidR="001F784B" w:rsidRPr="00C3428A">
        <w:rPr>
          <w:rFonts w:ascii="Book Antiqua" w:hAnsi="Book Antiqua"/>
          <w:sz w:val="23"/>
          <w:szCs w:val="23"/>
        </w:rPr>
        <w:t xml:space="preserve"> in relation to the </w:t>
      </w:r>
      <w:r w:rsidR="00FD5665" w:rsidRPr="00C3428A">
        <w:rPr>
          <w:rFonts w:ascii="Book Antiqua" w:hAnsi="Book Antiqua"/>
          <w:sz w:val="23"/>
          <w:szCs w:val="23"/>
        </w:rPr>
        <w:t>Claim Form, Application Notice and evidence in support</w:t>
      </w:r>
      <w:r w:rsidR="005F7193" w:rsidRPr="00C3428A">
        <w:rPr>
          <w:rFonts w:ascii="Book Antiqua" w:hAnsi="Book Antiqua"/>
          <w:sz w:val="23"/>
          <w:szCs w:val="23"/>
        </w:rPr>
        <w:t>:</w:t>
      </w:r>
    </w:p>
    <w:p w14:paraId="34A53D92" w14:textId="00D352A4" w:rsidR="003B6E73" w:rsidRPr="00C3428A" w:rsidRDefault="003B6E73" w:rsidP="003B6E73">
      <w:pPr>
        <w:pStyle w:val="ListParagraph"/>
        <w:numPr>
          <w:ilvl w:val="0"/>
          <w:numId w:val="6"/>
        </w:numPr>
        <w:spacing w:line="360" w:lineRule="auto"/>
        <w:ind w:left="1701" w:hanging="567"/>
        <w:contextualSpacing w:val="0"/>
        <w:jc w:val="both"/>
        <w:rPr>
          <w:rFonts w:ascii="Book Antiqua" w:hAnsi="Book Antiqua"/>
          <w:sz w:val="23"/>
          <w:szCs w:val="23"/>
        </w:rPr>
      </w:pPr>
      <w:r w:rsidRPr="00C3428A">
        <w:rPr>
          <w:rFonts w:ascii="Book Antiqua" w:hAnsi="Book Antiqua"/>
          <w:sz w:val="23"/>
          <w:szCs w:val="23"/>
        </w:rPr>
        <w:t xml:space="preserve">Uploading </w:t>
      </w:r>
      <w:r w:rsidR="00EF5BEB">
        <w:rPr>
          <w:rFonts w:ascii="Book Antiqua" w:hAnsi="Book Antiqua"/>
          <w:sz w:val="23"/>
          <w:szCs w:val="23"/>
        </w:rPr>
        <w:t>copies</w:t>
      </w:r>
      <w:r w:rsidRPr="00C3428A">
        <w:rPr>
          <w:rFonts w:ascii="Book Antiqua" w:hAnsi="Book Antiqua"/>
          <w:sz w:val="23"/>
          <w:szCs w:val="23"/>
        </w:rPr>
        <w:t xml:space="preserve"> onto the following website: </w:t>
      </w:r>
      <w:hyperlink r:id="rId7" w:history="1">
        <w:r w:rsidRPr="00C3428A">
          <w:rPr>
            <w:rStyle w:val="Hyperlink"/>
            <w:rFonts w:ascii="Book Antiqua" w:hAnsi="Book Antiqua"/>
            <w:sz w:val="23"/>
            <w:szCs w:val="23"/>
          </w:rPr>
          <w:t>www.cam.ac.uk/notices</w:t>
        </w:r>
      </w:hyperlink>
      <w:r w:rsidRPr="00C3428A">
        <w:rPr>
          <w:rFonts w:ascii="Book Antiqua" w:hAnsi="Book Antiqua"/>
          <w:sz w:val="23"/>
          <w:szCs w:val="23"/>
        </w:rPr>
        <w:t>.</w:t>
      </w:r>
    </w:p>
    <w:p w14:paraId="4FD8AF8B" w14:textId="1BF00CC7" w:rsidR="0013180D" w:rsidRPr="00C3428A" w:rsidRDefault="003B6E73" w:rsidP="0013180D">
      <w:pPr>
        <w:pStyle w:val="ListParagraph"/>
        <w:numPr>
          <w:ilvl w:val="0"/>
          <w:numId w:val="6"/>
        </w:numPr>
        <w:spacing w:line="360" w:lineRule="auto"/>
        <w:ind w:left="1701" w:hanging="567"/>
        <w:contextualSpacing w:val="0"/>
        <w:jc w:val="both"/>
        <w:rPr>
          <w:rFonts w:ascii="Book Antiqua" w:hAnsi="Book Antiqua"/>
          <w:sz w:val="23"/>
          <w:szCs w:val="23"/>
        </w:rPr>
      </w:pPr>
      <w:r w:rsidRPr="00C3428A">
        <w:rPr>
          <w:rFonts w:ascii="Book Antiqua" w:hAnsi="Book Antiqua"/>
          <w:sz w:val="23"/>
          <w:szCs w:val="23"/>
        </w:rPr>
        <w:t xml:space="preserve">Sending an email to the email addresses </w:t>
      </w:r>
      <w:r w:rsidR="00E25213" w:rsidRPr="00C3428A">
        <w:rPr>
          <w:rFonts w:ascii="Book Antiqua" w:hAnsi="Book Antiqua"/>
          <w:sz w:val="23"/>
          <w:szCs w:val="23"/>
        </w:rPr>
        <w:t xml:space="preserve">associated </w:t>
      </w:r>
      <w:r w:rsidR="002E6827" w:rsidRPr="00C3428A">
        <w:rPr>
          <w:rFonts w:ascii="Book Antiqua" w:hAnsi="Book Antiqua"/>
          <w:sz w:val="23"/>
          <w:szCs w:val="23"/>
        </w:rPr>
        <w:t>with the Defendants (</w:t>
      </w:r>
      <w:hyperlink r:id="rId8" w:history="1">
        <w:r w:rsidR="0013180D" w:rsidRPr="00C3428A">
          <w:rPr>
            <w:rStyle w:val="Hyperlink"/>
            <w:rFonts w:ascii="Book Antiqua" w:hAnsi="Book Antiqua"/>
            <w:sz w:val="23"/>
            <w:szCs w:val="23"/>
          </w:rPr>
          <w:t>cambridge4palestine@proton.me</w:t>
        </w:r>
      </w:hyperlink>
      <w:r w:rsidR="0013180D" w:rsidRPr="00C3428A">
        <w:rPr>
          <w:rFonts w:ascii="Book Antiqua" w:hAnsi="Book Antiqua"/>
          <w:sz w:val="23"/>
          <w:szCs w:val="23"/>
        </w:rPr>
        <w:t xml:space="preserve">; </w:t>
      </w:r>
      <w:hyperlink r:id="rId9" w:history="1">
        <w:r w:rsidR="0013180D" w:rsidRPr="00C3428A">
          <w:rPr>
            <w:rStyle w:val="Hyperlink"/>
            <w:rFonts w:ascii="Book Antiqua" w:hAnsi="Book Antiqua"/>
            <w:sz w:val="23"/>
            <w:szCs w:val="23"/>
          </w:rPr>
          <w:t>encampmentnegotiations@proton.me</w:t>
        </w:r>
      </w:hyperlink>
      <w:r w:rsidR="0013180D" w:rsidRPr="00C3428A">
        <w:rPr>
          <w:rFonts w:ascii="Book Antiqua" w:hAnsi="Book Antiqua"/>
          <w:sz w:val="23"/>
          <w:szCs w:val="23"/>
        </w:rPr>
        <w:t xml:space="preserve">; </w:t>
      </w:r>
      <w:hyperlink r:id="rId10" w:history="1">
        <w:r w:rsidR="0013180D" w:rsidRPr="00C3428A">
          <w:rPr>
            <w:rStyle w:val="Hyperlink"/>
            <w:rFonts w:ascii="Book Antiqua" w:hAnsi="Book Antiqua"/>
            <w:sz w:val="23"/>
            <w:szCs w:val="23"/>
          </w:rPr>
          <w:t>bloodonyourhands@systemli.org</w:t>
        </w:r>
      </w:hyperlink>
      <w:r w:rsidR="0013180D" w:rsidRPr="00C3428A">
        <w:rPr>
          <w:rFonts w:ascii="Book Antiqua" w:hAnsi="Book Antiqua"/>
          <w:sz w:val="23"/>
          <w:szCs w:val="23"/>
        </w:rPr>
        <w:t>)</w:t>
      </w:r>
    </w:p>
    <w:p w14:paraId="43E896AC" w14:textId="7E8AF6E9" w:rsidR="003B6E73" w:rsidRPr="00C3428A" w:rsidRDefault="003B6E73" w:rsidP="0024530D">
      <w:pPr>
        <w:spacing w:line="360" w:lineRule="auto"/>
        <w:ind w:left="1701"/>
        <w:jc w:val="both"/>
        <w:rPr>
          <w:rFonts w:ascii="Book Antiqua" w:hAnsi="Book Antiqua"/>
          <w:sz w:val="23"/>
          <w:szCs w:val="23"/>
        </w:rPr>
      </w:pPr>
      <w:r w:rsidRPr="00C3428A">
        <w:rPr>
          <w:rFonts w:ascii="Book Antiqua" w:hAnsi="Book Antiqua"/>
          <w:sz w:val="23"/>
          <w:szCs w:val="23"/>
        </w:rPr>
        <w:t>stating that a claim has been brought and an application made, and that the documents can be found at the website referred to above.</w:t>
      </w:r>
    </w:p>
    <w:p w14:paraId="2250C5A3" w14:textId="22842E15" w:rsidR="00FD5665" w:rsidRPr="00C3428A" w:rsidRDefault="003B6E73" w:rsidP="003B6E73">
      <w:pPr>
        <w:pStyle w:val="ListParagraph"/>
        <w:numPr>
          <w:ilvl w:val="0"/>
          <w:numId w:val="6"/>
        </w:numPr>
        <w:spacing w:line="360" w:lineRule="auto"/>
        <w:ind w:left="1701" w:hanging="567"/>
        <w:contextualSpacing w:val="0"/>
        <w:jc w:val="both"/>
        <w:rPr>
          <w:rFonts w:ascii="Book Antiqua" w:hAnsi="Book Antiqua"/>
          <w:sz w:val="23"/>
          <w:szCs w:val="23"/>
        </w:rPr>
      </w:pPr>
      <w:r w:rsidRPr="00C3428A">
        <w:rPr>
          <w:rFonts w:ascii="Book Antiqua" w:hAnsi="Book Antiqua"/>
          <w:sz w:val="23"/>
          <w:szCs w:val="23"/>
        </w:rPr>
        <w:t>Affixing a notice at those locations marked with an “x” on Plans 1 and 2 setting out where these documents can be found and obtained in hard copy.</w:t>
      </w:r>
    </w:p>
    <w:p w14:paraId="08F7804B" w14:textId="0D1DAB25" w:rsidR="00090BA7" w:rsidRPr="00C3428A" w:rsidRDefault="003B6E73" w:rsidP="00A73096">
      <w:pPr>
        <w:pStyle w:val="ListParagraph"/>
        <w:numPr>
          <w:ilvl w:val="0"/>
          <w:numId w:val="3"/>
        </w:numPr>
        <w:spacing w:line="360" w:lineRule="auto"/>
        <w:ind w:left="567" w:hanging="567"/>
        <w:contextualSpacing w:val="0"/>
        <w:jc w:val="both"/>
        <w:rPr>
          <w:rFonts w:ascii="Book Antiqua" w:hAnsi="Book Antiqua"/>
          <w:sz w:val="23"/>
          <w:szCs w:val="23"/>
        </w:rPr>
      </w:pPr>
      <w:r w:rsidRPr="00C3428A">
        <w:rPr>
          <w:rFonts w:ascii="Book Antiqua" w:hAnsi="Book Antiqua"/>
          <w:sz w:val="23"/>
          <w:szCs w:val="23"/>
        </w:rPr>
        <w:t>These steps were completed on Wednesday 19 February 2025</w:t>
      </w:r>
      <w:r w:rsidR="00B47078" w:rsidRPr="00C3428A">
        <w:rPr>
          <w:rFonts w:ascii="Book Antiqua" w:hAnsi="Book Antiqua"/>
          <w:sz w:val="23"/>
          <w:szCs w:val="23"/>
        </w:rPr>
        <w:t xml:space="preserve">: </w:t>
      </w:r>
      <w:r w:rsidR="00B62CA3">
        <w:rPr>
          <w:rFonts w:ascii="Book Antiqua" w:hAnsi="Book Antiqua"/>
          <w:sz w:val="23"/>
          <w:szCs w:val="23"/>
        </w:rPr>
        <w:t xml:space="preserve">First </w:t>
      </w:r>
      <w:r w:rsidR="00415309">
        <w:rPr>
          <w:rFonts w:ascii="Book Antiqua" w:hAnsi="Book Antiqua"/>
          <w:sz w:val="23"/>
          <w:szCs w:val="23"/>
        </w:rPr>
        <w:t>Witness Statement of Mark Park</w:t>
      </w:r>
      <w:r w:rsidR="00521D6D">
        <w:rPr>
          <w:rFonts w:ascii="Book Antiqua" w:hAnsi="Book Antiqua"/>
          <w:sz w:val="23"/>
          <w:szCs w:val="23"/>
        </w:rPr>
        <w:t>er</w:t>
      </w:r>
      <w:r w:rsidR="00415309">
        <w:rPr>
          <w:rFonts w:ascii="Book Antiqua" w:hAnsi="Book Antiqua"/>
          <w:sz w:val="23"/>
          <w:szCs w:val="23"/>
        </w:rPr>
        <w:t xml:space="preserve">, 19 February 2025 </w:t>
      </w:r>
      <w:r w:rsidR="00415309">
        <w:rPr>
          <w:rFonts w:ascii="Book Antiqua" w:hAnsi="Book Antiqua"/>
          <w:b/>
          <w:bCs/>
          <w:sz w:val="23"/>
          <w:szCs w:val="23"/>
        </w:rPr>
        <w:t>[</w:t>
      </w:r>
      <w:r w:rsidR="00211D7C">
        <w:rPr>
          <w:rFonts w:ascii="Book Antiqua" w:hAnsi="Book Antiqua"/>
          <w:b/>
          <w:bCs/>
          <w:sz w:val="23"/>
          <w:szCs w:val="23"/>
        </w:rPr>
        <w:t>HB</w:t>
      </w:r>
      <w:r w:rsidR="00415309">
        <w:rPr>
          <w:rFonts w:ascii="Book Antiqua" w:hAnsi="Book Antiqua"/>
          <w:b/>
          <w:bCs/>
          <w:sz w:val="23"/>
          <w:szCs w:val="23"/>
        </w:rPr>
        <w:t>/</w:t>
      </w:r>
      <w:r w:rsidR="009F46A7">
        <w:rPr>
          <w:rFonts w:ascii="Book Antiqua" w:hAnsi="Book Antiqua"/>
          <w:b/>
          <w:bCs/>
          <w:sz w:val="23"/>
          <w:szCs w:val="23"/>
        </w:rPr>
        <w:t>5</w:t>
      </w:r>
      <w:r w:rsidR="00FA0504">
        <w:rPr>
          <w:rFonts w:ascii="Book Antiqua" w:hAnsi="Book Antiqua"/>
          <w:b/>
          <w:bCs/>
          <w:sz w:val="23"/>
          <w:szCs w:val="23"/>
        </w:rPr>
        <w:t>36</w:t>
      </w:r>
      <w:r w:rsidR="00F5771C">
        <w:rPr>
          <w:rFonts w:ascii="Book Antiqua" w:hAnsi="Book Antiqua"/>
          <w:b/>
          <w:bCs/>
          <w:sz w:val="23"/>
          <w:szCs w:val="23"/>
        </w:rPr>
        <w:t>(</w:t>
      </w:r>
      <w:r w:rsidR="009F46A7">
        <w:rPr>
          <w:rFonts w:ascii="Book Antiqua" w:hAnsi="Book Antiqua"/>
          <w:b/>
          <w:bCs/>
          <w:sz w:val="23"/>
          <w:szCs w:val="23"/>
        </w:rPr>
        <w:t>PDF38</w:t>
      </w:r>
      <w:r w:rsidR="00F5771C">
        <w:rPr>
          <w:rFonts w:ascii="Book Antiqua" w:hAnsi="Book Antiqua"/>
          <w:b/>
          <w:bCs/>
          <w:sz w:val="23"/>
          <w:szCs w:val="23"/>
        </w:rPr>
        <w:t>)</w:t>
      </w:r>
      <w:r w:rsidR="009F46A7">
        <w:rPr>
          <w:rFonts w:ascii="Book Antiqua" w:hAnsi="Book Antiqua"/>
          <w:b/>
          <w:bCs/>
          <w:sz w:val="23"/>
          <w:szCs w:val="23"/>
        </w:rPr>
        <w:t>]</w:t>
      </w:r>
      <w:r w:rsidR="00B62CA3">
        <w:rPr>
          <w:rFonts w:ascii="Book Antiqua" w:hAnsi="Book Antiqua"/>
          <w:b/>
          <w:bCs/>
          <w:sz w:val="23"/>
          <w:szCs w:val="23"/>
        </w:rPr>
        <w:t xml:space="preserve"> </w:t>
      </w:r>
      <w:r w:rsidR="00B62CA3">
        <w:rPr>
          <w:rFonts w:ascii="Book Antiqua" w:hAnsi="Book Antiqua"/>
          <w:sz w:val="23"/>
          <w:szCs w:val="23"/>
        </w:rPr>
        <w:t>and Maw</w:t>
      </w:r>
      <w:r w:rsidR="0012791B">
        <w:rPr>
          <w:rFonts w:ascii="Book Antiqua" w:hAnsi="Book Antiqua"/>
          <w:sz w:val="23"/>
          <w:szCs w:val="23"/>
        </w:rPr>
        <w:t xml:space="preserve"> 1</w:t>
      </w:r>
      <w:r w:rsidR="00B62CA3">
        <w:rPr>
          <w:rFonts w:ascii="Book Antiqua" w:hAnsi="Book Antiqua"/>
          <w:sz w:val="23"/>
          <w:szCs w:val="23"/>
        </w:rPr>
        <w:t>, dated 24 February 2025</w:t>
      </w:r>
      <w:r w:rsidR="00D072BE">
        <w:rPr>
          <w:rFonts w:ascii="Book Antiqua" w:hAnsi="Book Antiqua"/>
          <w:sz w:val="23"/>
          <w:szCs w:val="23"/>
        </w:rPr>
        <w:t xml:space="preserve"> </w:t>
      </w:r>
      <w:r w:rsidR="00D072BE">
        <w:rPr>
          <w:rFonts w:ascii="Book Antiqua" w:hAnsi="Book Antiqua"/>
          <w:b/>
          <w:bCs/>
          <w:sz w:val="23"/>
          <w:szCs w:val="23"/>
        </w:rPr>
        <w:t>[</w:t>
      </w:r>
      <w:r w:rsidR="00CB2121">
        <w:rPr>
          <w:rFonts w:ascii="Book Antiqua" w:hAnsi="Book Antiqua"/>
          <w:b/>
          <w:bCs/>
          <w:sz w:val="23"/>
          <w:szCs w:val="23"/>
        </w:rPr>
        <w:t>SB/5/674</w:t>
      </w:r>
      <w:r w:rsidR="00F5771C">
        <w:rPr>
          <w:rFonts w:ascii="Book Antiqua" w:hAnsi="Book Antiqua"/>
          <w:b/>
          <w:bCs/>
          <w:sz w:val="23"/>
          <w:szCs w:val="23"/>
        </w:rPr>
        <w:t>(</w:t>
      </w:r>
      <w:r w:rsidR="009F46A7">
        <w:rPr>
          <w:rFonts w:ascii="Book Antiqua" w:hAnsi="Book Antiqua"/>
          <w:b/>
          <w:bCs/>
          <w:sz w:val="23"/>
          <w:szCs w:val="23"/>
        </w:rPr>
        <w:t>PDF36</w:t>
      </w:r>
      <w:r w:rsidR="00F5771C">
        <w:rPr>
          <w:rFonts w:ascii="Book Antiqua" w:hAnsi="Book Antiqua"/>
          <w:b/>
          <w:bCs/>
          <w:sz w:val="23"/>
          <w:szCs w:val="23"/>
        </w:rPr>
        <w:t>)</w:t>
      </w:r>
      <w:r w:rsidR="009F46A7">
        <w:rPr>
          <w:rFonts w:ascii="Book Antiqua" w:hAnsi="Book Antiqua"/>
          <w:b/>
          <w:bCs/>
          <w:sz w:val="23"/>
          <w:szCs w:val="23"/>
        </w:rPr>
        <w:t>]</w:t>
      </w:r>
      <w:r w:rsidR="00FA0504">
        <w:rPr>
          <w:rFonts w:ascii="Book Antiqua" w:hAnsi="Book Antiqua"/>
          <w:sz w:val="23"/>
          <w:szCs w:val="23"/>
        </w:rPr>
        <w:t>.</w:t>
      </w:r>
    </w:p>
    <w:p w14:paraId="6E96ECF2" w14:textId="28A57EF9" w:rsidR="00CB006E" w:rsidRPr="00101279" w:rsidRDefault="00A73096" w:rsidP="00D83D2D">
      <w:pPr>
        <w:pStyle w:val="ListParagraph"/>
        <w:numPr>
          <w:ilvl w:val="0"/>
          <w:numId w:val="3"/>
        </w:numPr>
        <w:spacing w:line="360" w:lineRule="auto"/>
        <w:ind w:left="567" w:hanging="567"/>
        <w:contextualSpacing w:val="0"/>
        <w:jc w:val="both"/>
        <w:rPr>
          <w:rFonts w:ascii="Book Antiqua" w:hAnsi="Book Antiqua"/>
          <w:sz w:val="23"/>
          <w:szCs w:val="23"/>
        </w:rPr>
      </w:pPr>
      <w:r w:rsidRPr="00C3428A">
        <w:rPr>
          <w:rFonts w:ascii="Book Antiqua" w:hAnsi="Book Antiqua"/>
          <w:sz w:val="23"/>
          <w:szCs w:val="23"/>
        </w:rPr>
        <w:t>As such, although the requirement</w:t>
      </w:r>
      <w:r w:rsidR="00154328" w:rsidRPr="00C3428A">
        <w:rPr>
          <w:rFonts w:ascii="Book Antiqua" w:hAnsi="Book Antiqua"/>
          <w:sz w:val="23"/>
          <w:szCs w:val="23"/>
        </w:rPr>
        <w:t xml:space="preserve">s </w:t>
      </w:r>
      <w:r w:rsidRPr="00C3428A">
        <w:rPr>
          <w:rFonts w:ascii="Book Antiqua" w:hAnsi="Book Antiqua"/>
          <w:sz w:val="23"/>
          <w:szCs w:val="23"/>
        </w:rPr>
        <w:t xml:space="preserve">in </w:t>
      </w:r>
      <w:r w:rsidR="00154328" w:rsidRPr="00C3428A">
        <w:rPr>
          <w:rFonts w:ascii="Book Antiqua" w:hAnsi="Book Antiqua"/>
          <w:sz w:val="23"/>
          <w:szCs w:val="23"/>
        </w:rPr>
        <w:t xml:space="preserve">CPR r.23.7(1) and </w:t>
      </w:r>
      <w:r w:rsidRPr="00C3428A">
        <w:rPr>
          <w:rFonts w:ascii="Book Antiqua" w:hAnsi="Book Antiqua"/>
          <w:sz w:val="23"/>
          <w:szCs w:val="23"/>
        </w:rPr>
        <w:t>s.</w:t>
      </w:r>
      <w:r w:rsidR="00B13CB2" w:rsidRPr="00C3428A">
        <w:rPr>
          <w:rFonts w:ascii="Book Antiqua" w:hAnsi="Book Antiqua"/>
          <w:sz w:val="23"/>
          <w:szCs w:val="23"/>
        </w:rPr>
        <w:t>12(2)</w:t>
      </w:r>
      <w:r w:rsidR="00980BD5" w:rsidRPr="00C3428A">
        <w:rPr>
          <w:rFonts w:ascii="Book Antiqua" w:hAnsi="Book Antiqua"/>
          <w:sz w:val="23"/>
          <w:szCs w:val="23"/>
        </w:rPr>
        <w:t>(a)</w:t>
      </w:r>
      <w:r w:rsidR="006F33AB" w:rsidRPr="00C3428A">
        <w:rPr>
          <w:rFonts w:ascii="Book Antiqua" w:hAnsi="Book Antiqua"/>
          <w:sz w:val="23"/>
          <w:szCs w:val="23"/>
        </w:rPr>
        <w:t xml:space="preserve"> Human Rights Act 1998 </w:t>
      </w:r>
      <w:r w:rsidR="007C1CB2">
        <w:rPr>
          <w:rFonts w:ascii="Book Antiqua" w:hAnsi="Book Antiqua"/>
          <w:b/>
          <w:bCs/>
          <w:sz w:val="23"/>
          <w:szCs w:val="23"/>
        </w:rPr>
        <w:t xml:space="preserve">[AB/1/5] </w:t>
      </w:r>
      <w:r w:rsidR="006F33AB" w:rsidRPr="00C3428A">
        <w:rPr>
          <w:rFonts w:ascii="Book Antiqua" w:hAnsi="Book Antiqua"/>
          <w:sz w:val="23"/>
          <w:szCs w:val="23"/>
        </w:rPr>
        <w:t xml:space="preserve">do not technically apply – on account of </w:t>
      </w:r>
      <w:r w:rsidR="00980BD5" w:rsidRPr="00C3428A">
        <w:rPr>
          <w:rFonts w:ascii="Book Antiqua" w:hAnsi="Book Antiqua"/>
          <w:sz w:val="23"/>
          <w:szCs w:val="23"/>
        </w:rPr>
        <w:t>Persons Unknown</w:t>
      </w:r>
      <w:r w:rsidR="006F33AB" w:rsidRPr="00C3428A">
        <w:rPr>
          <w:rFonts w:ascii="Book Antiqua" w:hAnsi="Book Antiqua"/>
          <w:sz w:val="23"/>
          <w:szCs w:val="23"/>
        </w:rPr>
        <w:t xml:space="preserve"> not capable of being parties to proceedings – </w:t>
      </w:r>
      <w:r w:rsidR="00154328" w:rsidRPr="00C3428A">
        <w:rPr>
          <w:rFonts w:ascii="Book Antiqua" w:hAnsi="Book Antiqua"/>
          <w:sz w:val="23"/>
          <w:szCs w:val="23"/>
        </w:rPr>
        <w:t>they have</w:t>
      </w:r>
      <w:r w:rsidR="006F33AB" w:rsidRPr="00C3428A">
        <w:rPr>
          <w:rFonts w:ascii="Book Antiqua" w:hAnsi="Book Antiqua"/>
          <w:sz w:val="23"/>
          <w:szCs w:val="23"/>
        </w:rPr>
        <w:t xml:space="preserve"> been complied with in spirit</w:t>
      </w:r>
      <w:r w:rsidR="008E3F97">
        <w:rPr>
          <w:rFonts w:ascii="Book Antiqua" w:hAnsi="Book Antiqua"/>
          <w:sz w:val="23"/>
          <w:szCs w:val="23"/>
        </w:rPr>
        <w:t xml:space="preserve">: see, e.g., </w:t>
      </w:r>
      <w:r w:rsidR="008E3F97" w:rsidRPr="00352077">
        <w:rPr>
          <w:rFonts w:ascii="Book Antiqua" w:hAnsi="Book Antiqua"/>
          <w:sz w:val="23"/>
          <w:szCs w:val="23"/>
          <w:u w:val="single"/>
          <w:lang w:val="en-GB"/>
        </w:rPr>
        <w:t>London City Airport v Persons Unknown</w:t>
      </w:r>
      <w:r w:rsidR="008E3F97" w:rsidRPr="00352077">
        <w:rPr>
          <w:rFonts w:ascii="Book Antiqua" w:hAnsi="Book Antiqua"/>
          <w:i/>
          <w:iCs/>
          <w:sz w:val="23"/>
          <w:szCs w:val="23"/>
          <w:lang w:val="en-GB"/>
        </w:rPr>
        <w:t xml:space="preserve"> </w:t>
      </w:r>
      <w:r w:rsidR="008E3F97" w:rsidRPr="00352077">
        <w:rPr>
          <w:rFonts w:ascii="Book Antiqua" w:hAnsi="Book Antiqua"/>
          <w:sz w:val="23"/>
          <w:szCs w:val="23"/>
          <w:lang w:val="en-GB"/>
        </w:rPr>
        <w:t>[2024] EWHC 2557 (KB)</w:t>
      </w:r>
      <w:r w:rsidR="008E3F97">
        <w:rPr>
          <w:rFonts w:ascii="Book Antiqua" w:hAnsi="Book Antiqua"/>
          <w:sz w:val="23"/>
          <w:szCs w:val="23"/>
          <w:lang w:val="en-GB"/>
        </w:rPr>
        <w:t>, §5 (Julian Knowles J)</w:t>
      </w:r>
      <w:r w:rsidR="007C1CB2">
        <w:rPr>
          <w:rFonts w:ascii="Book Antiqua" w:hAnsi="Book Antiqua"/>
          <w:sz w:val="23"/>
          <w:szCs w:val="23"/>
          <w:lang w:val="en-GB"/>
        </w:rPr>
        <w:t xml:space="preserve"> </w:t>
      </w:r>
      <w:r w:rsidR="007C1CB2">
        <w:rPr>
          <w:rFonts w:ascii="Book Antiqua" w:hAnsi="Book Antiqua"/>
          <w:b/>
          <w:bCs/>
          <w:sz w:val="23"/>
          <w:szCs w:val="23"/>
        </w:rPr>
        <w:t>[AB/1</w:t>
      </w:r>
      <w:r w:rsidR="00D80DCC">
        <w:rPr>
          <w:rFonts w:ascii="Book Antiqua" w:hAnsi="Book Antiqua"/>
          <w:b/>
          <w:bCs/>
          <w:sz w:val="23"/>
          <w:szCs w:val="23"/>
        </w:rPr>
        <w:t>3</w:t>
      </w:r>
      <w:r w:rsidR="007C1CB2">
        <w:rPr>
          <w:rFonts w:ascii="Book Antiqua" w:hAnsi="Book Antiqua"/>
          <w:b/>
          <w:bCs/>
          <w:sz w:val="23"/>
          <w:szCs w:val="23"/>
        </w:rPr>
        <w:t>/</w:t>
      </w:r>
      <w:r w:rsidR="00D80DCC">
        <w:rPr>
          <w:rFonts w:ascii="Book Antiqua" w:hAnsi="Book Antiqua"/>
          <w:b/>
          <w:bCs/>
          <w:sz w:val="23"/>
          <w:szCs w:val="23"/>
        </w:rPr>
        <w:t>397</w:t>
      </w:r>
      <w:r w:rsidR="007C1CB2">
        <w:rPr>
          <w:rFonts w:ascii="Book Antiqua" w:hAnsi="Book Antiqua"/>
          <w:b/>
          <w:bCs/>
          <w:sz w:val="23"/>
          <w:szCs w:val="23"/>
        </w:rPr>
        <w:t>]</w:t>
      </w:r>
      <w:r w:rsidR="008E3F97">
        <w:rPr>
          <w:rFonts w:ascii="Book Antiqua" w:hAnsi="Book Antiqua"/>
          <w:sz w:val="23"/>
          <w:szCs w:val="23"/>
          <w:lang w:val="en-GB"/>
        </w:rPr>
        <w:t>.</w:t>
      </w:r>
    </w:p>
    <w:p w14:paraId="113D13E9" w14:textId="77777777" w:rsidR="00101279" w:rsidRPr="00143825" w:rsidRDefault="00101279" w:rsidP="00101279">
      <w:pPr>
        <w:pStyle w:val="ListParagraph"/>
        <w:spacing w:line="360" w:lineRule="auto"/>
        <w:ind w:left="567"/>
        <w:contextualSpacing w:val="0"/>
        <w:jc w:val="both"/>
        <w:rPr>
          <w:rFonts w:ascii="Book Antiqua" w:hAnsi="Book Antiqua"/>
          <w:sz w:val="23"/>
          <w:szCs w:val="23"/>
        </w:rPr>
      </w:pPr>
    </w:p>
    <w:p w14:paraId="7C501D3C" w14:textId="20C88ED2" w:rsidR="00441B8A" w:rsidRPr="00441B8A" w:rsidRDefault="00441B8A" w:rsidP="00441B8A">
      <w:pPr>
        <w:pStyle w:val="ListParagraph"/>
        <w:numPr>
          <w:ilvl w:val="0"/>
          <w:numId w:val="16"/>
        </w:numPr>
        <w:spacing w:line="360" w:lineRule="auto"/>
        <w:ind w:left="1134" w:hanging="567"/>
        <w:contextualSpacing w:val="0"/>
        <w:jc w:val="both"/>
        <w:rPr>
          <w:rFonts w:ascii="Book Antiqua" w:hAnsi="Book Antiqua"/>
          <w:b/>
          <w:bCs/>
          <w:sz w:val="23"/>
          <w:szCs w:val="23"/>
        </w:rPr>
      </w:pPr>
      <w:r>
        <w:rPr>
          <w:rFonts w:ascii="Book Antiqua" w:hAnsi="Book Antiqua"/>
          <w:b/>
          <w:bCs/>
          <w:sz w:val="23"/>
          <w:szCs w:val="23"/>
          <w:lang w:val="en-GB"/>
        </w:rPr>
        <w:t xml:space="preserve">The Fordham Order </w:t>
      </w:r>
    </w:p>
    <w:p w14:paraId="7798BEDD" w14:textId="2BA0E1DD" w:rsidR="001C39D5" w:rsidRDefault="00D072BE" w:rsidP="004C3F71">
      <w:pPr>
        <w:pStyle w:val="ListParagraph"/>
        <w:numPr>
          <w:ilvl w:val="0"/>
          <w:numId w:val="3"/>
        </w:numPr>
        <w:spacing w:line="360" w:lineRule="auto"/>
        <w:ind w:left="567" w:hanging="567"/>
        <w:jc w:val="both"/>
        <w:rPr>
          <w:rFonts w:ascii="Book Antiqua" w:hAnsi="Book Antiqua"/>
          <w:sz w:val="23"/>
          <w:szCs w:val="23"/>
        </w:rPr>
      </w:pPr>
      <w:r>
        <w:rPr>
          <w:rFonts w:ascii="Book Antiqua" w:hAnsi="Book Antiqua"/>
          <w:sz w:val="23"/>
          <w:szCs w:val="23"/>
        </w:rPr>
        <w:t xml:space="preserve">The University </w:t>
      </w:r>
      <w:r w:rsidR="002D1AAE">
        <w:rPr>
          <w:rFonts w:ascii="Book Antiqua" w:hAnsi="Book Antiqua"/>
          <w:sz w:val="23"/>
          <w:szCs w:val="23"/>
        </w:rPr>
        <w:t xml:space="preserve">notified Persons Unknown of the Fordham Order by </w:t>
      </w:r>
      <w:r w:rsidR="009A6A20">
        <w:rPr>
          <w:rFonts w:ascii="Book Antiqua" w:hAnsi="Book Antiqua"/>
          <w:sz w:val="23"/>
          <w:szCs w:val="23"/>
        </w:rPr>
        <w:t xml:space="preserve">carrying out the steps referred to </w:t>
      </w:r>
      <w:r w:rsidR="002A24A0">
        <w:rPr>
          <w:rFonts w:ascii="Book Antiqua" w:hAnsi="Book Antiqua"/>
          <w:sz w:val="23"/>
          <w:szCs w:val="23"/>
        </w:rPr>
        <w:t xml:space="preserve">at §9 of the Fordham Order. </w:t>
      </w:r>
      <w:r>
        <w:rPr>
          <w:rFonts w:ascii="Book Antiqua" w:hAnsi="Book Antiqua"/>
          <w:sz w:val="23"/>
          <w:szCs w:val="23"/>
        </w:rPr>
        <w:t xml:space="preserve"> </w:t>
      </w:r>
      <w:r w:rsidR="002A24A0">
        <w:rPr>
          <w:rFonts w:ascii="Book Antiqua" w:hAnsi="Book Antiqua"/>
          <w:sz w:val="23"/>
          <w:szCs w:val="23"/>
        </w:rPr>
        <w:t>As confirmed in Maw 2,</w:t>
      </w:r>
      <w:r w:rsidR="00C0605A">
        <w:rPr>
          <w:rFonts w:ascii="Book Antiqua" w:hAnsi="Book Antiqua"/>
          <w:sz w:val="23"/>
          <w:szCs w:val="23"/>
        </w:rPr>
        <w:t xml:space="preserve"> §§4-6,</w:t>
      </w:r>
      <w:r w:rsidR="00BF42ED">
        <w:rPr>
          <w:rFonts w:ascii="Book Antiqua" w:hAnsi="Book Antiqua"/>
          <w:sz w:val="23"/>
          <w:szCs w:val="23"/>
        </w:rPr>
        <w:t xml:space="preserve"> t</w:t>
      </w:r>
      <w:r w:rsidR="004C3F71">
        <w:rPr>
          <w:rFonts w:ascii="Book Antiqua" w:hAnsi="Book Antiqua"/>
          <w:sz w:val="23"/>
          <w:szCs w:val="23"/>
        </w:rPr>
        <w:t xml:space="preserve">hese steps were completed on </w:t>
      </w:r>
      <w:r w:rsidR="00BF42ED">
        <w:rPr>
          <w:rFonts w:ascii="Book Antiqua" w:hAnsi="Book Antiqua"/>
          <w:sz w:val="23"/>
          <w:szCs w:val="23"/>
        </w:rPr>
        <w:t>28 February 2025</w:t>
      </w:r>
      <w:r w:rsidR="00FD734A">
        <w:rPr>
          <w:rFonts w:ascii="Book Antiqua" w:hAnsi="Book Antiqua"/>
          <w:sz w:val="23"/>
          <w:szCs w:val="23"/>
        </w:rPr>
        <w:t xml:space="preserve"> </w:t>
      </w:r>
      <w:r w:rsidR="00FD734A">
        <w:rPr>
          <w:rFonts w:ascii="Book Antiqua" w:hAnsi="Book Antiqua"/>
          <w:b/>
          <w:bCs/>
          <w:sz w:val="23"/>
          <w:szCs w:val="23"/>
        </w:rPr>
        <w:t>[</w:t>
      </w:r>
      <w:r w:rsidR="00CB2121">
        <w:rPr>
          <w:rFonts w:ascii="Book Antiqua" w:hAnsi="Book Antiqua"/>
          <w:b/>
          <w:bCs/>
          <w:sz w:val="23"/>
          <w:szCs w:val="23"/>
        </w:rPr>
        <w:t>SB/8/865</w:t>
      </w:r>
      <w:r w:rsidR="00F5771C">
        <w:rPr>
          <w:rFonts w:ascii="Book Antiqua" w:hAnsi="Book Antiqua"/>
          <w:b/>
          <w:bCs/>
          <w:sz w:val="23"/>
          <w:szCs w:val="23"/>
        </w:rPr>
        <w:t>(</w:t>
      </w:r>
      <w:r w:rsidR="009F46A7">
        <w:rPr>
          <w:rFonts w:ascii="Book Antiqua" w:hAnsi="Book Antiqua"/>
          <w:b/>
          <w:bCs/>
          <w:sz w:val="23"/>
          <w:szCs w:val="23"/>
        </w:rPr>
        <w:t>PDF227</w:t>
      </w:r>
      <w:r w:rsidR="00F5771C">
        <w:rPr>
          <w:rFonts w:ascii="Book Antiqua" w:hAnsi="Book Antiqua"/>
          <w:b/>
          <w:bCs/>
          <w:sz w:val="23"/>
          <w:szCs w:val="23"/>
        </w:rPr>
        <w:t>)</w:t>
      </w:r>
      <w:r w:rsidR="009F46A7">
        <w:rPr>
          <w:rFonts w:ascii="Book Antiqua" w:hAnsi="Book Antiqua"/>
          <w:b/>
          <w:bCs/>
          <w:sz w:val="23"/>
          <w:szCs w:val="23"/>
        </w:rPr>
        <w:t>]</w:t>
      </w:r>
      <w:r w:rsidR="00051A53">
        <w:rPr>
          <w:rFonts w:ascii="Book Antiqua" w:hAnsi="Book Antiqua"/>
          <w:sz w:val="23"/>
          <w:szCs w:val="23"/>
        </w:rPr>
        <w:t>.</w:t>
      </w:r>
    </w:p>
    <w:p w14:paraId="3425D1D1" w14:textId="77777777" w:rsidR="00441B8A" w:rsidRPr="00FD734A" w:rsidRDefault="00441B8A" w:rsidP="00441B8A">
      <w:pPr>
        <w:spacing w:line="360" w:lineRule="auto"/>
        <w:ind w:left="360"/>
        <w:jc w:val="both"/>
        <w:rPr>
          <w:rFonts w:ascii="Book Antiqua" w:hAnsi="Book Antiqua"/>
          <w:sz w:val="6"/>
          <w:szCs w:val="6"/>
        </w:rPr>
      </w:pPr>
    </w:p>
    <w:p w14:paraId="1D30F036" w14:textId="0BB1F079" w:rsidR="00441B8A" w:rsidRDefault="00441B8A" w:rsidP="00441B8A">
      <w:pPr>
        <w:pStyle w:val="ListParagraph"/>
        <w:numPr>
          <w:ilvl w:val="0"/>
          <w:numId w:val="16"/>
        </w:numPr>
        <w:spacing w:line="360" w:lineRule="auto"/>
        <w:ind w:left="1134" w:hanging="567"/>
        <w:contextualSpacing w:val="0"/>
        <w:jc w:val="both"/>
        <w:rPr>
          <w:rFonts w:ascii="Book Antiqua" w:hAnsi="Book Antiqua"/>
          <w:b/>
          <w:bCs/>
          <w:sz w:val="23"/>
          <w:szCs w:val="23"/>
        </w:rPr>
      </w:pPr>
      <w:r>
        <w:rPr>
          <w:rFonts w:ascii="Book Antiqua" w:hAnsi="Book Antiqua"/>
          <w:b/>
          <w:bCs/>
          <w:sz w:val="23"/>
          <w:szCs w:val="23"/>
        </w:rPr>
        <w:t>Notice of the hearing on 19 March 2025</w:t>
      </w:r>
    </w:p>
    <w:p w14:paraId="3E4D7323" w14:textId="30825060" w:rsidR="005368F9" w:rsidRDefault="00BF42ED" w:rsidP="00441B8A">
      <w:pPr>
        <w:pStyle w:val="ListParagraph"/>
        <w:numPr>
          <w:ilvl w:val="0"/>
          <w:numId w:val="3"/>
        </w:numPr>
        <w:spacing w:line="360" w:lineRule="auto"/>
        <w:ind w:left="567" w:hanging="567"/>
        <w:contextualSpacing w:val="0"/>
        <w:jc w:val="both"/>
        <w:rPr>
          <w:rFonts w:ascii="Book Antiqua" w:hAnsi="Book Antiqua"/>
          <w:sz w:val="23"/>
          <w:szCs w:val="23"/>
        </w:rPr>
      </w:pPr>
      <w:r>
        <w:rPr>
          <w:rFonts w:ascii="Book Antiqua" w:hAnsi="Book Antiqua"/>
          <w:sz w:val="23"/>
          <w:szCs w:val="23"/>
        </w:rPr>
        <w:t>The University notified Persons Unknown that the return hearing would be taking place on 19 March 2025 by carrying out the steps referred</w:t>
      </w:r>
      <w:r w:rsidR="00C0605A">
        <w:rPr>
          <w:rFonts w:ascii="Book Antiqua" w:hAnsi="Book Antiqua"/>
          <w:sz w:val="23"/>
          <w:szCs w:val="23"/>
        </w:rPr>
        <w:t xml:space="preserve"> to </w:t>
      </w:r>
      <w:r w:rsidR="00153D78">
        <w:rPr>
          <w:rFonts w:ascii="Book Antiqua" w:hAnsi="Book Antiqua"/>
          <w:sz w:val="23"/>
          <w:szCs w:val="23"/>
        </w:rPr>
        <w:t xml:space="preserve">at §11 of the Fordham Order. In addition, notices of the hearing were </w:t>
      </w:r>
      <w:r w:rsidR="003E1099">
        <w:rPr>
          <w:rFonts w:ascii="Book Antiqua" w:hAnsi="Book Antiqua"/>
          <w:sz w:val="23"/>
          <w:szCs w:val="23"/>
        </w:rPr>
        <w:t xml:space="preserve">affixed at various locations around the perimeter of the Land. As confirmed in Maw 2, </w:t>
      </w:r>
      <w:r w:rsidR="00EA78F3">
        <w:rPr>
          <w:rFonts w:ascii="Book Antiqua" w:hAnsi="Book Antiqua"/>
          <w:sz w:val="23"/>
          <w:szCs w:val="23"/>
        </w:rPr>
        <w:t>§§7-9, these steps were completed on 7 March 2025</w:t>
      </w:r>
      <w:r w:rsidR="005368F9">
        <w:rPr>
          <w:rFonts w:ascii="Book Antiqua" w:hAnsi="Book Antiqua"/>
          <w:sz w:val="23"/>
          <w:szCs w:val="23"/>
        </w:rPr>
        <w:t xml:space="preserve"> </w:t>
      </w:r>
      <w:r w:rsidR="005368F9">
        <w:rPr>
          <w:rFonts w:ascii="Book Antiqua" w:hAnsi="Book Antiqua"/>
          <w:b/>
          <w:bCs/>
          <w:sz w:val="23"/>
          <w:szCs w:val="23"/>
        </w:rPr>
        <w:t>[</w:t>
      </w:r>
      <w:r w:rsidR="009F46A7">
        <w:rPr>
          <w:rFonts w:ascii="Book Antiqua" w:hAnsi="Book Antiqua"/>
          <w:b/>
          <w:bCs/>
          <w:sz w:val="23"/>
          <w:szCs w:val="23"/>
        </w:rPr>
        <w:t>SB/</w:t>
      </w:r>
      <w:r w:rsidR="00CB2121">
        <w:rPr>
          <w:rFonts w:ascii="Book Antiqua" w:hAnsi="Book Antiqua"/>
          <w:b/>
          <w:bCs/>
          <w:sz w:val="23"/>
          <w:szCs w:val="23"/>
        </w:rPr>
        <w:t>8/865</w:t>
      </w:r>
      <w:r w:rsidR="00F5771C">
        <w:rPr>
          <w:rFonts w:ascii="Book Antiqua" w:hAnsi="Book Antiqua"/>
          <w:b/>
          <w:bCs/>
          <w:sz w:val="23"/>
          <w:szCs w:val="23"/>
        </w:rPr>
        <w:t>(</w:t>
      </w:r>
      <w:r w:rsidR="009F46A7">
        <w:rPr>
          <w:rFonts w:ascii="Book Antiqua" w:hAnsi="Book Antiqua"/>
          <w:b/>
          <w:bCs/>
          <w:sz w:val="23"/>
          <w:szCs w:val="23"/>
        </w:rPr>
        <w:t>PDF227</w:t>
      </w:r>
      <w:r w:rsidR="00F5771C">
        <w:rPr>
          <w:rFonts w:ascii="Book Antiqua" w:hAnsi="Book Antiqua"/>
          <w:b/>
          <w:bCs/>
          <w:sz w:val="23"/>
          <w:szCs w:val="23"/>
        </w:rPr>
        <w:t>)</w:t>
      </w:r>
      <w:r w:rsidR="009F46A7">
        <w:rPr>
          <w:rFonts w:ascii="Book Antiqua" w:hAnsi="Book Antiqua"/>
          <w:b/>
          <w:bCs/>
          <w:sz w:val="23"/>
          <w:szCs w:val="23"/>
        </w:rPr>
        <w:t>]</w:t>
      </w:r>
      <w:r w:rsidR="00EA78F3">
        <w:rPr>
          <w:rFonts w:ascii="Book Antiqua" w:hAnsi="Book Antiqua"/>
          <w:sz w:val="23"/>
          <w:szCs w:val="23"/>
        </w:rPr>
        <w:t>.</w:t>
      </w:r>
    </w:p>
    <w:p w14:paraId="5AE95B21" w14:textId="77777777" w:rsidR="00101279" w:rsidRPr="00101279" w:rsidRDefault="00101279" w:rsidP="00101279">
      <w:pPr>
        <w:spacing w:line="360" w:lineRule="auto"/>
        <w:jc w:val="both"/>
        <w:rPr>
          <w:rFonts w:ascii="Book Antiqua" w:hAnsi="Book Antiqua"/>
          <w:sz w:val="6"/>
          <w:szCs w:val="6"/>
        </w:rPr>
      </w:pPr>
    </w:p>
    <w:p w14:paraId="0434F0B2" w14:textId="0211F0A5" w:rsidR="005368F9" w:rsidRPr="005368F9" w:rsidRDefault="005368F9" w:rsidP="005368F9">
      <w:pPr>
        <w:pStyle w:val="ListParagraph"/>
        <w:numPr>
          <w:ilvl w:val="0"/>
          <w:numId w:val="16"/>
        </w:numPr>
        <w:spacing w:line="360" w:lineRule="auto"/>
        <w:ind w:left="1134" w:hanging="567"/>
        <w:contextualSpacing w:val="0"/>
        <w:jc w:val="both"/>
        <w:rPr>
          <w:rFonts w:ascii="Book Antiqua" w:hAnsi="Book Antiqua"/>
          <w:b/>
          <w:bCs/>
          <w:sz w:val="23"/>
          <w:szCs w:val="23"/>
        </w:rPr>
      </w:pPr>
      <w:r>
        <w:rPr>
          <w:rFonts w:ascii="Book Antiqua" w:hAnsi="Book Antiqua"/>
          <w:b/>
          <w:bCs/>
          <w:sz w:val="23"/>
          <w:szCs w:val="23"/>
        </w:rPr>
        <w:t>Notice of the application to amend description of Defendants</w:t>
      </w:r>
    </w:p>
    <w:p w14:paraId="7B2F6865" w14:textId="79F13EAD" w:rsidR="00441B8A" w:rsidRPr="00441B8A" w:rsidRDefault="00EA78F3" w:rsidP="005368F9">
      <w:pPr>
        <w:pStyle w:val="ListParagraph"/>
        <w:numPr>
          <w:ilvl w:val="0"/>
          <w:numId w:val="3"/>
        </w:numPr>
        <w:spacing w:line="360" w:lineRule="auto"/>
        <w:ind w:left="567" w:hanging="567"/>
        <w:contextualSpacing w:val="0"/>
        <w:jc w:val="both"/>
        <w:rPr>
          <w:rFonts w:ascii="Book Antiqua" w:hAnsi="Book Antiqua"/>
          <w:sz w:val="23"/>
          <w:szCs w:val="23"/>
        </w:rPr>
      </w:pPr>
      <w:r>
        <w:rPr>
          <w:rFonts w:ascii="Book Antiqua" w:hAnsi="Book Antiqua"/>
          <w:sz w:val="23"/>
          <w:szCs w:val="23"/>
        </w:rPr>
        <w:t xml:space="preserve"> </w:t>
      </w:r>
      <w:r w:rsidR="005368F9">
        <w:rPr>
          <w:rFonts w:ascii="Book Antiqua" w:hAnsi="Book Antiqua"/>
          <w:sz w:val="23"/>
          <w:szCs w:val="23"/>
        </w:rPr>
        <w:t>The University notified Persons Unknown of its application, dated 13 March 2025, by carrying out the steps referred to at §1</w:t>
      </w:r>
      <w:r w:rsidR="00187DD5">
        <w:rPr>
          <w:rFonts w:ascii="Book Antiqua" w:hAnsi="Book Antiqua"/>
          <w:sz w:val="23"/>
          <w:szCs w:val="23"/>
        </w:rPr>
        <w:t>0</w:t>
      </w:r>
      <w:r w:rsidR="005368F9">
        <w:rPr>
          <w:rFonts w:ascii="Book Antiqua" w:hAnsi="Book Antiqua"/>
          <w:sz w:val="23"/>
          <w:szCs w:val="23"/>
        </w:rPr>
        <w:t xml:space="preserve"> of the Fordham Order. In addition, </w:t>
      </w:r>
      <w:r w:rsidR="00B42870">
        <w:rPr>
          <w:rFonts w:ascii="Book Antiqua" w:hAnsi="Book Antiqua"/>
          <w:sz w:val="23"/>
          <w:szCs w:val="23"/>
        </w:rPr>
        <w:t xml:space="preserve">a </w:t>
      </w:r>
      <w:r w:rsidR="005368F9">
        <w:rPr>
          <w:rFonts w:ascii="Book Antiqua" w:hAnsi="Book Antiqua"/>
          <w:sz w:val="23"/>
          <w:szCs w:val="23"/>
        </w:rPr>
        <w:t xml:space="preserve">notice </w:t>
      </w:r>
      <w:r w:rsidR="00187DD5">
        <w:rPr>
          <w:rFonts w:ascii="Book Antiqua" w:hAnsi="Book Antiqua"/>
          <w:sz w:val="23"/>
          <w:szCs w:val="23"/>
        </w:rPr>
        <w:t>stating that this application had been made</w:t>
      </w:r>
      <w:r w:rsidR="005368F9">
        <w:rPr>
          <w:rFonts w:ascii="Book Antiqua" w:hAnsi="Book Antiqua"/>
          <w:sz w:val="23"/>
          <w:szCs w:val="23"/>
        </w:rPr>
        <w:t xml:space="preserve"> </w:t>
      </w:r>
      <w:r w:rsidR="00B42870">
        <w:rPr>
          <w:rFonts w:ascii="Book Antiqua" w:hAnsi="Book Antiqua"/>
          <w:sz w:val="23"/>
          <w:szCs w:val="23"/>
        </w:rPr>
        <w:t>was</w:t>
      </w:r>
      <w:r w:rsidR="005368F9">
        <w:rPr>
          <w:rFonts w:ascii="Book Antiqua" w:hAnsi="Book Antiqua"/>
          <w:sz w:val="23"/>
          <w:szCs w:val="23"/>
        </w:rPr>
        <w:t xml:space="preserve"> </w:t>
      </w:r>
      <w:r w:rsidR="00187DD5">
        <w:rPr>
          <w:rFonts w:ascii="Book Antiqua" w:hAnsi="Book Antiqua"/>
          <w:sz w:val="23"/>
          <w:szCs w:val="23"/>
        </w:rPr>
        <w:t xml:space="preserve">also </w:t>
      </w:r>
      <w:r w:rsidR="005368F9">
        <w:rPr>
          <w:rFonts w:ascii="Book Antiqua" w:hAnsi="Book Antiqua"/>
          <w:sz w:val="23"/>
          <w:szCs w:val="23"/>
        </w:rPr>
        <w:t xml:space="preserve">affixed at </w:t>
      </w:r>
      <w:r w:rsidR="00B42870">
        <w:rPr>
          <w:rFonts w:ascii="Book Antiqua" w:hAnsi="Book Antiqua"/>
          <w:sz w:val="23"/>
          <w:szCs w:val="23"/>
        </w:rPr>
        <w:t>the entrance to Greenwich House</w:t>
      </w:r>
      <w:r w:rsidR="005368F9">
        <w:rPr>
          <w:rFonts w:ascii="Book Antiqua" w:hAnsi="Book Antiqua"/>
          <w:sz w:val="23"/>
          <w:szCs w:val="23"/>
        </w:rPr>
        <w:t xml:space="preserve">. As confirmed in Maw </w:t>
      </w:r>
      <w:r w:rsidR="00187DD5">
        <w:rPr>
          <w:rFonts w:ascii="Book Antiqua" w:hAnsi="Book Antiqua"/>
          <w:sz w:val="23"/>
          <w:szCs w:val="23"/>
        </w:rPr>
        <w:t>3</w:t>
      </w:r>
      <w:r w:rsidR="005368F9" w:rsidRPr="00925C30">
        <w:rPr>
          <w:rFonts w:ascii="Book Antiqua" w:hAnsi="Book Antiqua"/>
          <w:sz w:val="23"/>
          <w:szCs w:val="23"/>
        </w:rPr>
        <w:t>, §§</w:t>
      </w:r>
      <w:r w:rsidR="008D6456" w:rsidRPr="00925C30">
        <w:rPr>
          <w:rFonts w:ascii="Book Antiqua" w:hAnsi="Book Antiqua"/>
          <w:sz w:val="23"/>
          <w:szCs w:val="23"/>
        </w:rPr>
        <w:t>4-5</w:t>
      </w:r>
      <w:r w:rsidR="005368F9" w:rsidRPr="00925C30">
        <w:rPr>
          <w:rFonts w:ascii="Book Antiqua" w:hAnsi="Book Antiqua"/>
          <w:sz w:val="23"/>
          <w:szCs w:val="23"/>
        </w:rPr>
        <w:t xml:space="preserve">, these steps were completed on </w:t>
      </w:r>
      <w:r w:rsidR="008D6456" w:rsidRPr="00925C30">
        <w:rPr>
          <w:rFonts w:ascii="Book Antiqua" w:hAnsi="Book Antiqua"/>
          <w:sz w:val="23"/>
          <w:szCs w:val="23"/>
        </w:rPr>
        <w:t>13 March 2025</w:t>
      </w:r>
      <w:r w:rsidR="005368F9" w:rsidRPr="00925C30">
        <w:rPr>
          <w:rFonts w:ascii="Book Antiqua" w:hAnsi="Book Antiqua"/>
          <w:sz w:val="23"/>
          <w:szCs w:val="23"/>
        </w:rPr>
        <w:t xml:space="preserve"> </w:t>
      </w:r>
      <w:r w:rsidR="005368F9" w:rsidRPr="00925C30">
        <w:rPr>
          <w:rFonts w:ascii="Book Antiqua" w:hAnsi="Book Antiqua"/>
          <w:b/>
          <w:bCs/>
          <w:sz w:val="23"/>
          <w:szCs w:val="23"/>
        </w:rPr>
        <w:t>[</w:t>
      </w:r>
      <w:r w:rsidR="008D6456" w:rsidRPr="00925C30">
        <w:rPr>
          <w:rFonts w:ascii="Book Antiqua" w:hAnsi="Book Antiqua"/>
          <w:b/>
          <w:bCs/>
          <w:sz w:val="23"/>
          <w:szCs w:val="23"/>
        </w:rPr>
        <w:t>SB/</w:t>
      </w:r>
      <w:r w:rsidR="00925C30" w:rsidRPr="00925C30">
        <w:rPr>
          <w:rFonts w:ascii="Book Antiqua" w:hAnsi="Book Antiqua"/>
          <w:b/>
          <w:bCs/>
          <w:sz w:val="23"/>
          <w:szCs w:val="23"/>
        </w:rPr>
        <w:t>9/901</w:t>
      </w:r>
      <w:r w:rsidR="00F5771C">
        <w:rPr>
          <w:rFonts w:ascii="Book Antiqua" w:hAnsi="Book Antiqua"/>
          <w:b/>
          <w:bCs/>
          <w:sz w:val="23"/>
          <w:szCs w:val="23"/>
        </w:rPr>
        <w:t>(</w:t>
      </w:r>
      <w:r w:rsidR="009F46A7">
        <w:rPr>
          <w:rFonts w:ascii="Book Antiqua" w:hAnsi="Book Antiqua"/>
          <w:b/>
          <w:bCs/>
          <w:sz w:val="23"/>
          <w:szCs w:val="23"/>
        </w:rPr>
        <w:t>PDF263</w:t>
      </w:r>
      <w:r w:rsidR="00F5771C">
        <w:rPr>
          <w:rFonts w:ascii="Book Antiqua" w:hAnsi="Book Antiqua"/>
          <w:b/>
          <w:bCs/>
          <w:sz w:val="23"/>
          <w:szCs w:val="23"/>
        </w:rPr>
        <w:t>)</w:t>
      </w:r>
      <w:r w:rsidR="009F46A7">
        <w:rPr>
          <w:rFonts w:ascii="Book Antiqua" w:hAnsi="Book Antiqua"/>
          <w:b/>
          <w:bCs/>
          <w:sz w:val="23"/>
          <w:szCs w:val="23"/>
        </w:rPr>
        <w:t>]</w:t>
      </w:r>
      <w:r w:rsidR="005368F9" w:rsidRPr="00925C30">
        <w:rPr>
          <w:rFonts w:ascii="Book Antiqua" w:hAnsi="Book Antiqua"/>
          <w:sz w:val="23"/>
          <w:szCs w:val="23"/>
        </w:rPr>
        <w:t>.</w:t>
      </w:r>
    </w:p>
    <w:p w14:paraId="2C1F3D0B" w14:textId="77777777" w:rsidR="00E465F2" w:rsidRDefault="00E465F2" w:rsidP="00441B8A">
      <w:pPr>
        <w:pStyle w:val="ListParagraph"/>
        <w:spacing w:line="360" w:lineRule="auto"/>
        <w:ind w:left="567"/>
        <w:contextualSpacing w:val="0"/>
        <w:jc w:val="both"/>
        <w:rPr>
          <w:rFonts w:ascii="Book Antiqua" w:hAnsi="Book Antiqua"/>
          <w:sz w:val="23"/>
          <w:szCs w:val="23"/>
        </w:rPr>
      </w:pPr>
    </w:p>
    <w:p w14:paraId="07785520" w14:textId="40D365DC" w:rsidR="000B7B23" w:rsidRPr="00C3428A" w:rsidRDefault="000B7B23" w:rsidP="00563259">
      <w:pPr>
        <w:pStyle w:val="ListParagraph"/>
        <w:numPr>
          <w:ilvl w:val="0"/>
          <w:numId w:val="2"/>
        </w:numPr>
        <w:spacing w:line="360" w:lineRule="auto"/>
        <w:ind w:left="567" w:hanging="567"/>
        <w:contextualSpacing w:val="0"/>
        <w:jc w:val="both"/>
        <w:rPr>
          <w:rFonts w:ascii="Book Antiqua" w:hAnsi="Book Antiqua"/>
          <w:b/>
          <w:bCs/>
          <w:sz w:val="23"/>
          <w:szCs w:val="23"/>
          <w:u w:val="single"/>
        </w:rPr>
      </w:pPr>
      <w:r w:rsidRPr="00C3428A">
        <w:rPr>
          <w:rFonts w:ascii="Book Antiqua" w:hAnsi="Book Antiqua"/>
          <w:b/>
          <w:bCs/>
          <w:sz w:val="23"/>
          <w:szCs w:val="23"/>
          <w:u w:val="single"/>
        </w:rPr>
        <w:t>THE CAMPAIGN</w:t>
      </w:r>
    </w:p>
    <w:p w14:paraId="7716B8EB" w14:textId="591DBC14" w:rsidR="00DB4E44" w:rsidRPr="00624586" w:rsidRDefault="00EC4844" w:rsidP="00624586">
      <w:pPr>
        <w:pStyle w:val="ListParagraph"/>
        <w:numPr>
          <w:ilvl w:val="0"/>
          <w:numId w:val="3"/>
        </w:numPr>
        <w:spacing w:line="360" w:lineRule="auto"/>
        <w:ind w:left="567" w:hanging="567"/>
        <w:contextualSpacing w:val="0"/>
        <w:jc w:val="both"/>
        <w:rPr>
          <w:rFonts w:ascii="Book Antiqua" w:hAnsi="Book Antiqua"/>
          <w:sz w:val="23"/>
          <w:szCs w:val="23"/>
        </w:rPr>
      </w:pPr>
      <w:r w:rsidRPr="00624586">
        <w:rPr>
          <w:rFonts w:ascii="Book Antiqua" w:hAnsi="Book Antiqua"/>
          <w:sz w:val="23"/>
          <w:szCs w:val="23"/>
        </w:rPr>
        <w:t xml:space="preserve">The background to the present dispute is set out in Rampton 1, </w:t>
      </w:r>
      <w:r w:rsidR="00A54CF5" w:rsidRPr="00624586">
        <w:rPr>
          <w:rFonts w:ascii="Book Antiqua" w:hAnsi="Book Antiqua"/>
          <w:sz w:val="23"/>
          <w:szCs w:val="23"/>
        </w:rPr>
        <w:t>§§28-59</w:t>
      </w:r>
      <w:r w:rsidR="00CD65A8" w:rsidRPr="00624586">
        <w:rPr>
          <w:rFonts w:ascii="Book Antiqua" w:hAnsi="Book Antiqua"/>
          <w:sz w:val="23"/>
          <w:szCs w:val="23"/>
        </w:rPr>
        <w:t xml:space="preserve"> </w:t>
      </w:r>
      <w:r w:rsidR="00CD65A8" w:rsidRPr="00624586">
        <w:rPr>
          <w:rFonts w:ascii="Book Antiqua" w:hAnsi="Book Antiqua"/>
          <w:b/>
          <w:bCs/>
          <w:sz w:val="23"/>
          <w:szCs w:val="23"/>
        </w:rPr>
        <w:t>[</w:t>
      </w:r>
      <w:r w:rsidR="00211D7C">
        <w:rPr>
          <w:rFonts w:ascii="Book Antiqua" w:hAnsi="Book Antiqua"/>
          <w:b/>
          <w:bCs/>
          <w:sz w:val="23"/>
          <w:szCs w:val="23"/>
        </w:rPr>
        <w:t>HB</w:t>
      </w:r>
      <w:r w:rsidR="009F46A7">
        <w:rPr>
          <w:rFonts w:ascii="Book Antiqua" w:hAnsi="Book Antiqua"/>
          <w:b/>
          <w:bCs/>
          <w:sz w:val="23"/>
          <w:szCs w:val="23"/>
        </w:rPr>
        <w:t>/6</w:t>
      </w:r>
      <w:r w:rsidR="00CD65A8" w:rsidRPr="00624586">
        <w:rPr>
          <w:rFonts w:ascii="Book Antiqua" w:hAnsi="Book Antiqua"/>
          <w:b/>
          <w:bCs/>
          <w:sz w:val="23"/>
          <w:szCs w:val="23"/>
        </w:rPr>
        <w:t>/51</w:t>
      </w:r>
      <w:r w:rsidR="00F5771C">
        <w:rPr>
          <w:rFonts w:ascii="Book Antiqua" w:hAnsi="Book Antiqua"/>
          <w:b/>
          <w:bCs/>
          <w:sz w:val="23"/>
          <w:szCs w:val="23"/>
        </w:rPr>
        <w:t>(</w:t>
      </w:r>
      <w:r w:rsidR="009F46A7">
        <w:rPr>
          <w:rFonts w:ascii="Book Antiqua" w:hAnsi="Book Antiqua"/>
          <w:b/>
          <w:bCs/>
          <w:sz w:val="23"/>
          <w:szCs w:val="23"/>
        </w:rPr>
        <w:t>PDF53</w:t>
      </w:r>
      <w:r w:rsidR="00F5771C">
        <w:rPr>
          <w:rFonts w:ascii="Book Antiqua" w:hAnsi="Book Antiqua"/>
          <w:b/>
          <w:bCs/>
          <w:sz w:val="23"/>
          <w:szCs w:val="23"/>
        </w:rPr>
        <w:t>)</w:t>
      </w:r>
      <w:r w:rsidR="009F46A7">
        <w:rPr>
          <w:rFonts w:ascii="Book Antiqua" w:hAnsi="Book Antiqua"/>
          <w:b/>
          <w:bCs/>
          <w:sz w:val="23"/>
          <w:szCs w:val="23"/>
        </w:rPr>
        <w:t>]</w:t>
      </w:r>
      <w:r w:rsidR="00A721A7" w:rsidRPr="00624586">
        <w:rPr>
          <w:rFonts w:ascii="Book Antiqua" w:hAnsi="Book Antiqua"/>
          <w:sz w:val="23"/>
          <w:szCs w:val="23"/>
        </w:rPr>
        <w:t xml:space="preserve"> and summarised below. </w:t>
      </w:r>
    </w:p>
    <w:p w14:paraId="2356EA1E" w14:textId="2BAA1793" w:rsidR="00DB4E44" w:rsidRPr="00C3428A" w:rsidRDefault="00DB4E44" w:rsidP="00DB4E44">
      <w:pPr>
        <w:pStyle w:val="ListParagraph"/>
        <w:numPr>
          <w:ilvl w:val="0"/>
          <w:numId w:val="9"/>
        </w:numPr>
        <w:spacing w:line="360" w:lineRule="auto"/>
        <w:ind w:left="1134" w:hanging="567"/>
        <w:contextualSpacing w:val="0"/>
        <w:jc w:val="both"/>
        <w:rPr>
          <w:rFonts w:ascii="Book Antiqua" w:hAnsi="Book Antiqua"/>
          <w:b/>
          <w:bCs/>
          <w:sz w:val="23"/>
          <w:szCs w:val="23"/>
        </w:rPr>
      </w:pPr>
      <w:r w:rsidRPr="00C3428A">
        <w:rPr>
          <w:rFonts w:ascii="Book Antiqua" w:hAnsi="Book Antiqua"/>
          <w:b/>
          <w:bCs/>
          <w:sz w:val="23"/>
          <w:szCs w:val="23"/>
        </w:rPr>
        <w:t>The Defendants</w:t>
      </w:r>
    </w:p>
    <w:p w14:paraId="4D312596" w14:textId="3FAE80F9" w:rsidR="000B7B23" w:rsidRPr="00C3428A" w:rsidRDefault="00DB4E44" w:rsidP="00624586">
      <w:pPr>
        <w:pStyle w:val="ListParagraph"/>
        <w:numPr>
          <w:ilvl w:val="0"/>
          <w:numId w:val="3"/>
        </w:numPr>
        <w:spacing w:line="360" w:lineRule="auto"/>
        <w:ind w:left="567" w:hanging="567"/>
        <w:contextualSpacing w:val="0"/>
        <w:jc w:val="both"/>
        <w:rPr>
          <w:rFonts w:ascii="Book Antiqua" w:hAnsi="Book Antiqua"/>
          <w:sz w:val="23"/>
          <w:szCs w:val="23"/>
        </w:rPr>
      </w:pPr>
      <w:r w:rsidRPr="00C3428A">
        <w:rPr>
          <w:rFonts w:ascii="Book Antiqua" w:hAnsi="Book Antiqua"/>
          <w:sz w:val="23"/>
          <w:szCs w:val="23"/>
        </w:rPr>
        <w:t>T</w:t>
      </w:r>
      <w:r w:rsidR="006C2A22" w:rsidRPr="00C3428A">
        <w:rPr>
          <w:rFonts w:ascii="Book Antiqua" w:hAnsi="Book Antiqua"/>
          <w:sz w:val="23"/>
          <w:szCs w:val="23"/>
        </w:rPr>
        <w:t>he Defendants are responsible for conducting a campaign of direct action against the University</w:t>
      </w:r>
      <w:r w:rsidR="004024C1" w:rsidRPr="00C3428A">
        <w:rPr>
          <w:rFonts w:ascii="Book Antiqua" w:hAnsi="Book Antiqua"/>
          <w:sz w:val="23"/>
          <w:szCs w:val="23"/>
        </w:rPr>
        <w:t xml:space="preserve"> in relation to the Palestine-Israel </w:t>
      </w:r>
      <w:r w:rsidR="000407AB">
        <w:rPr>
          <w:rFonts w:ascii="Book Antiqua" w:hAnsi="Book Antiqua"/>
          <w:sz w:val="23"/>
          <w:szCs w:val="23"/>
        </w:rPr>
        <w:t>c</w:t>
      </w:r>
      <w:r w:rsidR="004024C1" w:rsidRPr="00C3428A">
        <w:rPr>
          <w:rFonts w:ascii="Book Antiqua" w:hAnsi="Book Antiqua"/>
          <w:sz w:val="23"/>
          <w:szCs w:val="23"/>
        </w:rPr>
        <w:t>onflict</w:t>
      </w:r>
      <w:r w:rsidR="00FB16AA" w:rsidRPr="00C3428A">
        <w:rPr>
          <w:rFonts w:ascii="Book Antiqua" w:hAnsi="Book Antiqua"/>
          <w:sz w:val="23"/>
          <w:szCs w:val="23"/>
        </w:rPr>
        <w:t xml:space="preserve">. </w:t>
      </w:r>
      <w:r w:rsidR="004024C1" w:rsidRPr="00C3428A">
        <w:rPr>
          <w:rFonts w:ascii="Book Antiqua" w:hAnsi="Book Antiqua"/>
          <w:sz w:val="23"/>
          <w:szCs w:val="23"/>
        </w:rPr>
        <w:t xml:space="preserve">Many of them </w:t>
      </w:r>
      <w:r w:rsidR="00AC6CE2" w:rsidRPr="00C3428A">
        <w:rPr>
          <w:rFonts w:ascii="Book Antiqua" w:hAnsi="Book Antiqua"/>
          <w:sz w:val="23"/>
          <w:szCs w:val="23"/>
        </w:rPr>
        <w:t>appear to be affiliated with the group known as Cambridge for Palestine, whose stated aim (on its website</w:t>
      </w:r>
      <w:r w:rsidR="00AA0C07" w:rsidRPr="00C3428A">
        <w:rPr>
          <w:rFonts w:ascii="Book Antiqua" w:hAnsi="Book Antiqua"/>
          <w:sz w:val="23"/>
          <w:szCs w:val="23"/>
        </w:rPr>
        <w:t xml:space="preserve"> “cambridge4palestine.org”</w:t>
      </w:r>
      <w:r w:rsidR="00AC6CE2" w:rsidRPr="00C3428A">
        <w:rPr>
          <w:rFonts w:ascii="Book Antiqua" w:hAnsi="Book Antiqua"/>
          <w:sz w:val="23"/>
          <w:szCs w:val="23"/>
        </w:rPr>
        <w:t>) is as follows: “W</w:t>
      </w:r>
      <w:r w:rsidR="00AC6CE2" w:rsidRPr="00C3428A">
        <w:rPr>
          <w:rFonts w:ascii="Book Antiqua" w:hAnsi="Book Antiqua"/>
          <w:i/>
          <w:iCs/>
          <w:sz w:val="23"/>
          <w:szCs w:val="23"/>
        </w:rPr>
        <w:t>e are a coalition standing against Cambridge University's complicity in the genocide of and apartheid against Palestinians</w:t>
      </w:r>
      <w:r w:rsidR="00AC6CE2" w:rsidRPr="00C3428A">
        <w:rPr>
          <w:rFonts w:ascii="Book Antiqua" w:hAnsi="Book Antiqua"/>
          <w:sz w:val="23"/>
          <w:szCs w:val="23"/>
        </w:rPr>
        <w:t>.”</w:t>
      </w:r>
      <w:r w:rsidR="00D4365F" w:rsidRPr="00C3428A">
        <w:rPr>
          <w:rFonts w:ascii="Book Antiqua" w:hAnsi="Book Antiqua"/>
          <w:sz w:val="23"/>
          <w:szCs w:val="23"/>
        </w:rPr>
        <w:t xml:space="preserve"> As well as its website, Cambridge for Palestine also has a</w:t>
      </w:r>
      <w:r w:rsidR="003360CE">
        <w:rPr>
          <w:rFonts w:ascii="Book Antiqua" w:hAnsi="Book Antiqua"/>
          <w:sz w:val="23"/>
          <w:szCs w:val="23"/>
        </w:rPr>
        <w:t>n X account (formerly known as</w:t>
      </w:r>
      <w:r w:rsidR="00D4365F" w:rsidRPr="00C3428A">
        <w:rPr>
          <w:rFonts w:ascii="Book Antiqua" w:hAnsi="Book Antiqua"/>
          <w:sz w:val="23"/>
          <w:szCs w:val="23"/>
        </w:rPr>
        <w:t xml:space="preserve"> Twitter</w:t>
      </w:r>
      <w:r w:rsidR="003360CE">
        <w:rPr>
          <w:rFonts w:ascii="Book Antiqua" w:hAnsi="Book Antiqua"/>
          <w:sz w:val="23"/>
          <w:szCs w:val="23"/>
        </w:rPr>
        <w:t>)</w:t>
      </w:r>
      <w:r w:rsidR="00D4365F" w:rsidRPr="00C3428A">
        <w:rPr>
          <w:rFonts w:ascii="Book Antiqua" w:hAnsi="Book Antiqua"/>
          <w:sz w:val="23"/>
          <w:szCs w:val="23"/>
        </w:rPr>
        <w:t xml:space="preserve"> (“@cam4palestine”), a Facebook account (“Cambridge for Palestine”) an Instagram account (“cambridgeforpalestine”) and a TikTok account (“cambridge4palestine”)</w:t>
      </w:r>
      <w:r w:rsidR="00B736FA">
        <w:rPr>
          <w:rFonts w:ascii="Book Antiqua" w:hAnsi="Book Antiqua"/>
          <w:sz w:val="23"/>
          <w:szCs w:val="23"/>
        </w:rPr>
        <w:t>, on which they, e.g., organise events, publi</w:t>
      </w:r>
      <w:r w:rsidR="004B4BE4">
        <w:rPr>
          <w:rFonts w:ascii="Book Antiqua" w:hAnsi="Book Antiqua"/>
          <w:sz w:val="23"/>
          <w:szCs w:val="23"/>
        </w:rPr>
        <w:t xml:space="preserve">sh their views and demands, and publicise the action they are taking.  </w:t>
      </w:r>
      <w:r w:rsidR="00B736FA">
        <w:rPr>
          <w:rFonts w:ascii="Book Antiqua" w:hAnsi="Book Antiqua"/>
          <w:sz w:val="23"/>
          <w:szCs w:val="23"/>
        </w:rPr>
        <w:t xml:space="preserve"> </w:t>
      </w:r>
    </w:p>
    <w:p w14:paraId="471F9651" w14:textId="60A619D7" w:rsidR="003C1132" w:rsidRPr="00624586" w:rsidRDefault="003C1132" w:rsidP="00624586">
      <w:pPr>
        <w:pStyle w:val="ListParagraph"/>
        <w:numPr>
          <w:ilvl w:val="0"/>
          <w:numId w:val="3"/>
        </w:numPr>
        <w:spacing w:after="220" w:line="360" w:lineRule="auto"/>
        <w:ind w:left="567" w:hanging="567"/>
        <w:jc w:val="both"/>
        <w:rPr>
          <w:rFonts w:ascii="Book Antiqua" w:hAnsi="Book Antiqua"/>
          <w:sz w:val="23"/>
          <w:szCs w:val="23"/>
        </w:rPr>
      </w:pPr>
      <w:r w:rsidRPr="00624586">
        <w:rPr>
          <w:rFonts w:ascii="Book Antiqua" w:hAnsi="Book Antiqua"/>
          <w:sz w:val="23"/>
          <w:szCs w:val="23"/>
        </w:rPr>
        <w:t xml:space="preserve">On Instagram, Cambridge for Palestine </w:t>
      </w:r>
      <w:r w:rsidR="00834ACE" w:rsidRPr="00624586">
        <w:rPr>
          <w:rFonts w:ascii="Book Antiqua" w:hAnsi="Book Antiqua"/>
          <w:sz w:val="23"/>
          <w:szCs w:val="23"/>
        </w:rPr>
        <w:t xml:space="preserve">has </w:t>
      </w:r>
      <w:r w:rsidRPr="00624586">
        <w:rPr>
          <w:rFonts w:ascii="Book Antiqua" w:hAnsi="Book Antiqua"/>
          <w:sz w:val="23"/>
          <w:szCs w:val="23"/>
        </w:rPr>
        <w:t>set out the following demands under the heading “</w:t>
      </w:r>
      <w:r w:rsidRPr="00624586">
        <w:rPr>
          <w:rFonts w:ascii="Book Antiqua" w:hAnsi="Book Antiqua"/>
          <w:i/>
          <w:iCs/>
          <w:sz w:val="23"/>
          <w:szCs w:val="23"/>
        </w:rPr>
        <w:t>CAMBRIDGE ENCAMPMENT FOR PALESTINE: OUR DEMANDS</w:t>
      </w:r>
      <w:r w:rsidRPr="00624586">
        <w:rPr>
          <w:rFonts w:ascii="Book Antiqua" w:hAnsi="Book Antiqua"/>
          <w:sz w:val="23"/>
          <w:szCs w:val="23"/>
        </w:rPr>
        <w:t>”:</w:t>
      </w:r>
    </w:p>
    <w:p w14:paraId="21D68AB4" w14:textId="77777777" w:rsidR="003C1132" w:rsidRPr="00C3428A" w:rsidRDefault="003C1132" w:rsidP="003C1132">
      <w:pPr>
        <w:pStyle w:val="ListParagraph"/>
        <w:ind w:left="1134"/>
        <w:jc w:val="both"/>
        <w:rPr>
          <w:rFonts w:ascii="Book Antiqua" w:hAnsi="Book Antiqua"/>
          <w:sz w:val="23"/>
          <w:szCs w:val="23"/>
        </w:rPr>
      </w:pPr>
      <w:r w:rsidRPr="00C3428A">
        <w:rPr>
          <w:rFonts w:ascii="Book Antiqua" w:hAnsi="Book Antiqua"/>
          <w:sz w:val="23"/>
          <w:szCs w:val="23"/>
        </w:rPr>
        <w:t>“We will not move until the University of Cambridge agrees to:</w:t>
      </w:r>
    </w:p>
    <w:p w14:paraId="3E93D6BC" w14:textId="77777777" w:rsidR="003C1132" w:rsidRPr="00C3428A" w:rsidRDefault="003C1132" w:rsidP="003C1132">
      <w:pPr>
        <w:pStyle w:val="ListParagraph"/>
        <w:ind w:left="1134"/>
        <w:jc w:val="both"/>
        <w:rPr>
          <w:rFonts w:ascii="Book Antiqua" w:hAnsi="Book Antiqua"/>
          <w:sz w:val="23"/>
          <w:szCs w:val="23"/>
        </w:rPr>
      </w:pPr>
      <w:r w:rsidRPr="00C3428A">
        <w:rPr>
          <w:rFonts w:ascii="Book Antiqua" w:hAnsi="Book Antiqua"/>
          <w:sz w:val="23"/>
          <w:szCs w:val="23"/>
        </w:rPr>
        <w:t>1️ Disclose financial and professional ties with complicit organisations</w:t>
      </w:r>
    </w:p>
    <w:p w14:paraId="48A1BEBE" w14:textId="77777777" w:rsidR="003C1132" w:rsidRPr="00C3428A" w:rsidRDefault="003C1132" w:rsidP="003C1132">
      <w:pPr>
        <w:pStyle w:val="ListParagraph"/>
        <w:ind w:left="1134"/>
        <w:jc w:val="both"/>
        <w:rPr>
          <w:rFonts w:ascii="Book Antiqua" w:hAnsi="Book Antiqua"/>
          <w:sz w:val="23"/>
          <w:szCs w:val="23"/>
        </w:rPr>
      </w:pPr>
      <w:r w:rsidRPr="00C3428A">
        <w:rPr>
          <w:rFonts w:ascii="Book Antiqua" w:hAnsi="Book Antiqua"/>
          <w:sz w:val="23"/>
          <w:szCs w:val="23"/>
        </w:rPr>
        <w:t>2️ Divest funds and collaboration away from such organisations</w:t>
      </w:r>
    </w:p>
    <w:p w14:paraId="47524713" w14:textId="77777777" w:rsidR="00834ACE" w:rsidRPr="00C3428A" w:rsidRDefault="003C1132" w:rsidP="00834ACE">
      <w:pPr>
        <w:pStyle w:val="ListParagraph"/>
        <w:ind w:left="1134"/>
        <w:jc w:val="both"/>
        <w:rPr>
          <w:rFonts w:ascii="Book Antiqua" w:hAnsi="Book Antiqua"/>
          <w:sz w:val="23"/>
          <w:szCs w:val="23"/>
        </w:rPr>
      </w:pPr>
      <w:r w:rsidRPr="00C3428A">
        <w:rPr>
          <w:rFonts w:ascii="Book Antiqua" w:hAnsi="Book Antiqua"/>
          <w:sz w:val="23"/>
          <w:szCs w:val="23"/>
        </w:rPr>
        <w:t>3️ Reinvest in Palestinian students, academics, and scholars</w:t>
      </w:r>
    </w:p>
    <w:p w14:paraId="67C00F5D" w14:textId="0A1D1D27" w:rsidR="00101279" w:rsidRDefault="003C1132" w:rsidP="005458F5">
      <w:pPr>
        <w:pStyle w:val="ListParagraph"/>
        <w:ind w:left="1134"/>
        <w:jc w:val="both"/>
        <w:rPr>
          <w:rFonts w:ascii="Book Antiqua" w:hAnsi="Book Antiqua"/>
          <w:sz w:val="23"/>
          <w:szCs w:val="23"/>
        </w:rPr>
      </w:pPr>
      <w:r w:rsidRPr="00C3428A">
        <w:rPr>
          <w:rFonts w:ascii="Book Antiqua" w:hAnsi="Book Antiqua"/>
          <w:sz w:val="23"/>
          <w:szCs w:val="23"/>
        </w:rPr>
        <w:t>4️</w:t>
      </w:r>
      <w:r w:rsidRPr="00C3428A">
        <w:rPr>
          <w:rFonts w:ascii="Segoe UI Symbol" w:hAnsi="Segoe UI Symbol" w:cs="Segoe UI Symbol"/>
          <w:sz w:val="23"/>
          <w:szCs w:val="23"/>
        </w:rPr>
        <w:t xml:space="preserve"> </w:t>
      </w:r>
      <w:r w:rsidRPr="00C3428A">
        <w:rPr>
          <w:rFonts w:ascii="Book Antiqua" w:hAnsi="Book Antiqua"/>
          <w:sz w:val="23"/>
          <w:szCs w:val="23"/>
        </w:rPr>
        <w:t>Protect students at risk and become a university of sanctuary”</w:t>
      </w:r>
    </w:p>
    <w:p w14:paraId="4594BAEC" w14:textId="77777777" w:rsidR="005458F5" w:rsidRPr="00C3428A" w:rsidRDefault="005458F5" w:rsidP="005458F5">
      <w:pPr>
        <w:pStyle w:val="ListParagraph"/>
        <w:ind w:left="1134"/>
        <w:jc w:val="both"/>
        <w:rPr>
          <w:rFonts w:ascii="Book Antiqua" w:hAnsi="Book Antiqua"/>
          <w:sz w:val="23"/>
          <w:szCs w:val="23"/>
        </w:rPr>
      </w:pPr>
    </w:p>
    <w:p w14:paraId="7AEBF817" w14:textId="6DF55443" w:rsidR="00834ACE" w:rsidRPr="00C3428A" w:rsidRDefault="007016FF" w:rsidP="007016FF">
      <w:pPr>
        <w:pStyle w:val="ListParagraph"/>
        <w:numPr>
          <w:ilvl w:val="0"/>
          <w:numId w:val="9"/>
        </w:numPr>
        <w:spacing w:line="360" w:lineRule="auto"/>
        <w:ind w:left="1134" w:hanging="567"/>
        <w:contextualSpacing w:val="0"/>
        <w:jc w:val="both"/>
        <w:rPr>
          <w:rFonts w:ascii="Book Antiqua" w:hAnsi="Book Antiqua"/>
          <w:sz w:val="23"/>
          <w:szCs w:val="23"/>
        </w:rPr>
      </w:pPr>
      <w:r w:rsidRPr="00C3428A">
        <w:rPr>
          <w:rFonts w:ascii="Book Antiqua" w:hAnsi="Book Antiqua"/>
          <w:b/>
          <w:bCs/>
          <w:sz w:val="23"/>
          <w:szCs w:val="23"/>
        </w:rPr>
        <w:t>Previous incidents of direct action</w:t>
      </w:r>
    </w:p>
    <w:p w14:paraId="76849B98" w14:textId="794A38B2" w:rsidR="007016FF" w:rsidRPr="00C3428A" w:rsidRDefault="00B90BF9" w:rsidP="00624586">
      <w:pPr>
        <w:pStyle w:val="ListParagraph"/>
        <w:numPr>
          <w:ilvl w:val="0"/>
          <w:numId w:val="3"/>
        </w:numPr>
        <w:spacing w:line="360" w:lineRule="auto"/>
        <w:ind w:left="567" w:hanging="567"/>
        <w:contextualSpacing w:val="0"/>
        <w:jc w:val="both"/>
        <w:rPr>
          <w:rFonts w:ascii="Book Antiqua" w:hAnsi="Book Antiqua"/>
          <w:sz w:val="23"/>
          <w:szCs w:val="23"/>
        </w:rPr>
      </w:pPr>
      <w:r w:rsidRPr="00C3428A">
        <w:rPr>
          <w:rFonts w:ascii="Book Antiqua" w:hAnsi="Book Antiqua"/>
          <w:sz w:val="23"/>
          <w:szCs w:val="23"/>
        </w:rPr>
        <w:t xml:space="preserve">The Defendants have engaged in direct action on the Land on multiple occasions in the last </w:t>
      </w:r>
      <w:r w:rsidR="005C423C" w:rsidRPr="00C3428A">
        <w:rPr>
          <w:rFonts w:ascii="Book Antiqua" w:hAnsi="Book Antiqua"/>
          <w:sz w:val="23"/>
          <w:szCs w:val="23"/>
        </w:rPr>
        <w:t>year</w:t>
      </w:r>
      <w:r w:rsidR="00A52A09">
        <w:rPr>
          <w:rFonts w:ascii="Book Antiqua" w:hAnsi="Book Antiqua"/>
          <w:sz w:val="23"/>
          <w:szCs w:val="23"/>
        </w:rPr>
        <w:t xml:space="preserve">, as summarised in the </w:t>
      </w:r>
      <w:r w:rsidR="00A52A09" w:rsidRPr="004C33CE">
        <w:rPr>
          <w:rFonts w:ascii="Book Antiqua" w:hAnsi="Book Antiqua"/>
          <w:sz w:val="23"/>
          <w:szCs w:val="23"/>
          <w:u w:val="single"/>
        </w:rPr>
        <w:t>Fordham Judgment</w:t>
      </w:r>
      <w:r w:rsidR="00A52A09">
        <w:rPr>
          <w:rFonts w:ascii="Book Antiqua" w:hAnsi="Book Antiqua"/>
          <w:sz w:val="23"/>
          <w:szCs w:val="23"/>
        </w:rPr>
        <w:t xml:space="preserve">, </w:t>
      </w:r>
      <w:r w:rsidR="004337C4" w:rsidRPr="005B6CC7">
        <w:rPr>
          <w:rFonts w:ascii="Book Antiqua" w:hAnsi="Book Antiqua"/>
          <w:sz w:val="23"/>
          <w:szCs w:val="23"/>
        </w:rPr>
        <w:t>§§</w:t>
      </w:r>
      <w:r w:rsidR="00A52A09">
        <w:rPr>
          <w:rFonts w:ascii="Book Antiqua" w:hAnsi="Book Antiqua"/>
          <w:sz w:val="23"/>
          <w:szCs w:val="23"/>
        </w:rPr>
        <w:t>13-</w:t>
      </w:r>
      <w:r w:rsidR="004337C4">
        <w:rPr>
          <w:rFonts w:ascii="Book Antiqua" w:hAnsi="Book Antiqua"/>
          <w:sz w:val="23"/>
          <w:szCs w:val="23"/>
        </w:rPr>
        <w:t>16</w:t>
      </w:r>
      <w:r w:rsidR="00B42870">
        <w:rPr>
          <w:rFonts w:ascii="Book Antiqua" w:hAnsi="Book Antiqua"/>
          <w:sz w:val="23"/>
          <w:szCs w:val="23"/>
        </w:rPr>
        <w:t xml:space="preserve"> </w:t>
      </w:r>
      <w:r w:rsidR="00B42870">
        <w:rPr>
          <w:rFonts w:ascii="Book Antiqua" w:hAnsi="Book Antiqua"/>
          <w:b/>
          <w:bCs/>
          <w:sz w:val="23"/>
          <w:szCs w:val="23"/>
        </w:rPr>
        <w:t>[</w:t>
      </w:r>
      <w:r w:rsidR="00FC5DC1">
        <w:rPr>
          <w:rFonts w:ascii="Book Antiqua" w:hAnsi="Book Antiqua"/>
          <w:b/>
          <w:bCs/>
          <w:sz w:val="23"/>
          <w:szCs w:val="23"/>
        </w:rPr>
        <w:t>SB/10/916</w:t>
      </w:r>
      <w:r w:rsidR="00F5771C">
        <w:rPr>
          <w:rFonts w:ascii="Book Antiqua" w:hAnsi="Book Antiqua"/>
          <w:b/>
          <w:bCs/>
          <w:sz w:val="23"/>
          <w:szCs w:val="23"/>
        </w:rPr>
        <w:t>(</w:t>
      </w:r>
      <w:r w:rsidR="009F46A7">
        <w:rPr>
          <w:rFonts w:ascii="Book Antiqua" w:hAnsi="Book Antiqua"/>
          <w:b/>
          <w:bCs/>
          <w:sz w:val="23"/>
          <w:szCs w:val="23"/>
        </w:rPr>
        <w:t>PDF278</w:t>
      </w:r>
      <w:r w:rsidR="00F5771C">
        <w:rPr>
          <w:rFonts w:ascii="Book Antiqua" w:hAnsi="Book Antiqua"/>
          <w:b/>
          <w:bCs/>
          <w:sz w:val="23"/>
          <w:szCs w:val="23"/>
        </w:rPr>
        <w:t>)</w:t>
      </w:r>
      <w:r w:rsidR="009F46A7">
        <w:rPr>
          <w:rFonts w:ascii="Book Antiqua" w:hAnsi="Book Antiqua"/>
          <w:b/>
          <w:bCs/>
          <w:sz w:val="23"/>
          <w:szCs w:val="23"/>
        </w:rPr>
        <w:t>]</w:t>
      </w:r>
      <w:r w:rsidR="004337C4">
        <w:rPr>
          <w:rFonts w:ascii="Book Antiqua" w:hAnsi="Book Antiqua"/>
          <w:sz w:val="23"/>
          <w:szCs w:val="23"/>
        </w:rPr>
        <w:t>.</w:t>
      </w:r>
    </w:p>
    <w:p w14:paraId="055B58DD" w14:textId="2AEA7D65" w:rsidR="00A02913" w:rsidRPr="00C3428A" w:rsidRDefault="00487B97" w:rsidP="00624586">
      <w:pPr>
        <w:pStyle w:val="ListParagraph"/>
        <w:numPr>
          <w:ilvl w:val="0"/>
          <w:numId w:val="3"/>
        </w:numPr>
        <w:spacing w:line="360" w:lineRule="auto"/>
        <w:ind w:left="567" w:hanging="567"/>
        <w:contextualSpacing w:val="0"/>
        <w:jc w:val="both"/>
        <w:rPr>
          <w:rFonts w:ascii="Book Antiqua" w:hAnsi="Book Antiqua"/>
          <w:sz w:val="23"/>
          <w:szCs w:val="23"/>
        </w:rPr>
      </w:pPr>
      <w:r w:rsidRPr="00C3428A">
        <w:rPr>
          <w:rFonts w:ascii="Book Antiqua" w:hAnsi="Book Antiqua"/>
          <w:sz w:val="23"/>
          <w:szCs w:val="23"/>
        </w:rPr>
        <w:t>On</w:t>
      </w:r>
      <w:r w:rsidR="005C423C" w:rsidRPr="00C3428A">
        <w:rPr>
          <w:rFonts w:ascii="Book Antiqua" w:hAnsi="Book Antiqua"/>
          <w:sz w:val="23"/>
          <w:szCs w:val="23"/>
        </w:rPr>
        <w:t xml:space="preserve"> 15</w:t>
      </w:r>
      <w:r w:rsidR="008960D7" w:rsidRPr="00C3428A">
        <w:rPr>
          <w:rFonts w:ascii="Book Antiqua" w:hAnsi="Book Antiqua"/>
          <w:sz w:val="23"/>
          <w:szCs w:val="23"/>
        </w:rPr>
        <w:t xml:space="preserve"> May 202</w:t>
      </w:r>
      <w:r w:rsidR="00B617C8" w:rsidRPr="00C3428A">
        <w:rPr>
          <w:rFonts w:ascii="Book Antiqua" w:hAnsi="Book Antiqua"/>
          <w:sz w:val="23"/>
          <w:szCs w:val="23"/>
        </w:rPr>
        <w:t>4</w:t>
      </w:r>
      <w:r w:rsidR="008960D7" w:rsidRPr="00C3428A">
        <w:rPr>
          <w:rFonts w:ascii="Book Antiqua" w:hAnsi="Book Antiqua"/>
          <w:sz w:val="23"/>
          <w:szCs w:val="23"/>
        </w:rPr>
        <w:t xml:space="preserve">, </w:t>
      </w:r>
      <w:r w:rsidR="00D37833" w:rsidRPr="00C3428A">
        <w:rPr>
          <w:rFonts w:ascii="Book Antiqua" w:hAnsi="Book Antiqua"/>
          <w:sz w:val="23"/>
          <w:szCs w:val="23"/>
        </w:rPr>
        <w:t>40-50</w:t>
      </w:r>
      <w:r w:rsidR="008960D7" w:rsidRPr="00C3428A">
        <w:rPr>
          <w:rFonts w:ascii="Book Antiqua" w:hAnsi="Book Antiqua"/>
          <w:sz w:val="23"/>
          <w:szCs w:val="23"/>
        </w:rPr>
        <w:t xml:space="preserve"> Defendants entered Senate House Yard by </w:t>
      </w:r>
      <w:r w:rsidR="00D37833" w:rsidRPr="00C3428A">
        <w:rPr>
          <w:rFonts w:ascii="Book Antiqua" w:hAnsi="Book Antiqua"/>
          <w:sz w:val="23"/>
          <w:szCs w:val="23"/>
        </w:rPr>
        <w:t>climbing a ladder over the perimeter fence.</w:t>
      </w:r>
      <w:r w:rsidRPr="00C3428A">
        <w:rPr>
          <w:rFonts w:ascii="Book Antiqua" w:hAnsi="Book Antiqua"/>
          <w:sz w:val="23"/>
          <w:szCs w:val="23"/>
        </w:rPr>
        <w:t xml:space="preserve"> They set up an encampment with </w:t>
      </w:r>
      <w:r w:rsidR="00822162" w:rsidRPr="00C3428A">
        <w:rPr>
          <w:rFonts w:ascii="Book Antiqua" w:hAnsi="Book Antiqua"/>
          <w:sz w:val="23"/>
          <w:szCs w:val="23"/>
        </w:rPr>
        <w:t xml:space="preserve">approximately </w:t>
      </w:r>
      <w:r w:rsidRPr="00C3428A">
        <w:rPr>
          <w:rFonts w:ascii="Book Antiqua" w:hAnsi="Book Antiqua"/>
          <w:sz w:val="23"/>
          <w:szCs w:val="23"/>
        </w:rPr>
        <w:t xml:space="preserve">13 tents </w:t>
      </w:r>
      <w:r w:rsidR="00822162" w:rsidRPr="00C3428A">
        <w:rPr>
          <w:rFonts w:ascii="Book Antiqua" w:hAnsi="Book Antiqua"/>
          <w:sz w:val="23"/>
          <w:szCs w:val="23"/>
        </w:rPr>
        <w:t>on Senate House Yard</w:t>
      </w:r>
      <w:r w:rsidR="0003584D">
        <w:rPr>
          <w:rFonts w:ascii="Book Antiqua" w:hAnsi="Book Antiqua"/>
          <w:sz w:val="23"/>
          <w:szCs w:val="23"/>
        </w:rPr>
        <w:t xml:space="preserve"> </w:t>
      </w:r>
      <w:r w:rsidR="0003584D">
        <w:rPr>
          <w:rFonts w:ascii="Book Antiqua" w:hAnsi="Book Antiqua"/>
          <w:b/>
          <w:bCs/>
          <w:sz w:val="23"/>
          <w:szCs w:val="23"/>
        </w:rPr>
        <w:t>[</w:t>
      </w:r>
      <w:r w:rsidR="00211D7C">
        <w:rPr>
          <w:rFonts w:ascii="Book Antiqua" w:hAnsi="Book Antiqua"/>
          <w:b/>
          <w:bCs/>
          <w:sz w:val="23"/>
          <w:szCs w:val="23"/>
        </w:rPr>
        <w:t>HB</w:t>
      </w:r>
      <w:r w:rsidR="0023389F">
        <w:rPr>
          <w:rFonts w:ascii="Book Antiqua" w:hAnsi="Book Antiqua"/>
          <w:b/>
          <w:bCs/>
          <w:sz w:val="23"/>
          <w:szCs w:val="23"/>
        </w:rPr>
        <w:t>/</w:t>
      </w:r>
      <w:r w:rsidR="009F46A7">
        <w:rPr>
          <w:rFonts w:ascii="Book Antiqua" w:hAnsi="Book Antiqua"/>
          <w:b/>
          <w:bCs/>
          <w:sz w:val="23"/>
          <w:szCs w:val="23"/>
        </w:rPr>
        <w:t>7/</w:t>
      </w:r>
      <w:r w:rsidR="0023389F">
        <w:rPr>
          <w:rFonts w:ascii="Book Antiqua" w:hAnsi="Book Antiqua"/>
          <w:b/>
          <w:bCs/>
          <w:sz w:val="23"/>
          <w:szCs w:val="23"/>
        </w:rPr>
        <w:t>601-603</w:t>
      </w:r>
      <w:r w:rsidR="00F5771C">
        <w:rPr>
          <w:rFonts w:ascii="Book Antiqua" w:hAnsi="Book Antiqua"/>
          <w:b/>
          <w:bCs/>
          <w:sz w:val="23"/>
          <w:szCs w:val="23"/>
        </w:rPr>
        <w:t>(</w:t>
      </w:r>
      <w:r w:rsidR="009F46A7">
        <w:rPr>
          <w:rFonts w:ascii="Book Antiqua" w:hAnsi="Book Antiqua"/>
          <w:b/>
          <w:bCs/>
          <w:sz w:val="23"/>
          <w:szCs w:val="23"/>
        </w:rPr>
        <w:t>PDF603-605</w:t>
      </w:r>
      <w:r w:rsidR="00F5771C">
        <w:rPr>
          <w:rFonts w:ascii="Book Antiqua" w:hAnsi="Book Antiqua"/>
          <w:b/>
          <w:bCs/>
          <w:sz w:val="23"/>
          <w:szCs w:val="23"/>
        </w:rPr>
        <w:t>)</w:t>
      </w:r>
      <w:r w:rsidR="009F46A7">
        <w:rPr>
          <w:rFonts w:ascii="Book Antiqua" w:hAnsi="Book Antiqua"/>
          <w:b/>
          <w:bCs/>
          <w:sz w:val="23"/>
          <w:szCs w:val="23"/>
        </w:rPr>
        <w:t>]</w:t>
      </w:r>
      <w:r w:rsidR="0003584D">
        <w:rPr>
          <w:rFonts w:ascii="Book Antiqua" w:hAnsi="Book Antiqua"/>
          <w:sz w:val="23"/>
          <w:szCs w:val="23"/>
        </w:rPr>
        <w:t xml:space="preserve">. This was for </w:t>
      </w:r>
      <w:r w:rsidRPr="00C3428A">
        <w:rPr>
          <w:rFonts w:ascii="Book Antiqua" w:hAnsi="Book Antiqua"/>
          <w:sz w:val="23"/>
          <w:szCs w:val="23"/>
        </w:rPr>
        <w:t xml:space="preserve">the ostensible purpose of preventing </w:t>
      </w:r>
      <w:r w:rsidR="00A715CF" w:rsidRPr="00C3428A">
        <w:rPr>
          <w:rFonts w:ascii="Book Antiqua" w:hAnsi="Book Antiqua"/>
          <w:sz w:val="23"/>
          <w:szCs w:val="23"/>
        </w:rPr>
        <w:t xml:space="preserve">graduation ceremonies taking place </w:t>
      </w:r>
      <w:r w:rsidR="00C954A1" w:rsidRPr="00C3428A">
        <w:rPr>
          <w:rFonts w:ascii="Book Antiqua" w:hAnsi="Book Antiqua"/>
          <w:sz w:val="23"/>
          <w:szCs w:val="23"/>
        </w:rPr>
        <w:t>at Senate House on</w:t>
      </w:r>
      <w:r w:rsidR="00B80FA2" w:rsidRPr="00C3428A">
        <w:rPr>
          <w:rFonts w:ascii="Book Antiqua" w:hAnsi="Book Antiqua"/>
          <w:sz w:val="23"/>
          <w:szCs w:val="23"/>
        </w:rPr>
        <w:t xml:space="preserve"> </w:t>
      </w:r>
      <w:r w:rsidR="00D515AF">
        <w:rPr>
          <w:rFonts w:ascii="Book Antiqua" w:hAnsi="Book Antiqua"/>
          <w:sz w:val="23"/>
          <w:szCs w:val="23"/>
        </w:rPr>
        <w:t>17 and 18</w:t>
      </w:r>
      <w:r w:rsidR="00B80FA2" w:rsidRPr="00C3428A">
        <w:rPr>
          <w:rFonts w:ascii="Book Antiqua" w:hAnsi="Book Antiqua"/>
          <w:sz w:val="23"/>
          <w:szCs w:val="23"/>
        </w:rPr>
        <w:t xml:space="preserve"> May 202</w:t>
      </w:r>
      <w:r w:rsidR="00406BA2">
        <w:rPr>
          <w:rFonts w:ascii="Book Antiqua" w:hAnsi="Book Antiqua"/>
          <w:sz w:val="23"/>
          <w:szCs w:val="23"/>
        </w:rPr>
        <w:t>4</w:t>
      </w:r>
      <w:r w:rsidR="00F86800">
        <w:rPr>
          <w:rFonts w:ascii="Book Antiqua" w:hAnsi="Book Antiqua"/>
          <w:sz w:val="23"/>
          <w:szCs w:val="23"/>
        </w:rPr>
        <w:t xml:space="preserve"> </w:t>
      </w:r>
      <w:r w:rsidR="00F86800">
        <w:rPr>
          <w:rFonts w:ascii="Book Antiqua" w:hAnsi="Book Antiqua"/>
          <w:b/>
          <w:bCs/>
          <w:sz w:val="23"/>
          <w:szCs w:val="23"/>
        </w:rPr>
        <w:t>[</w:t>
      </w:r>
      <w:r w:rsidR="00211D7C">
        <w:rPr>
          <w:rFonts w:ascii="Book Antiqua" w:hAnsi="Book Antiqua"/>
          <w:b/>
          <w:bCs/>
          <w:sz w:val="23"/>
          <w:szCs w:val="23"/>
        </w:rPr>
        <w:t>HB</w:t>
      </w:r>
      <w:r w:rsidR="005A4F55">
        <w:rPr>
          <w:rFonts w:ascii="Book Antiqua" w:hAnsi="Book Antiqua"/>
          <w:b/>
          <w:bCs/>
          <w:sz w:val="23"/>
          <w:szCs w:val="23"/>
        </w:rPr>
        <w:t>/</w:t>
      </w:r>
      <w:r w:rsidR="009F46A7">
        <w:rPr>
          <w:rFonts w:ascii="Book Antiqua" w:hAnsi="Book Antiqua"/>
          <w:b/>
          <w:bCs/>
          <w:sz w:val="23"/>
          <w:szCs w:val="23"/>
        </w:rPr>
        <w:t>7/</w:t>
      </w:r>
      <w:r w:rsidR="005A4F55">
        <w:rPr>
          <w:rFonts w:ascii="Book Antiqua" w:hAnsi="Book Antiqua"/>
          <w:b/>
          <w:bCs/>
          <w:sz w:val="23"/>
          <w:szCs w:val="23"/>
        </w:rPr>
        <w:t>600</w:t>
      </w:r>
      <w:r w:rsidR="00F5771C">
        <w:rPr>
          <w:rFonts w:ascii="Book Antiqua" w:hAnsi="Book Antiqua"/>
          <w:b/>
          <w:bCs/>
          <w:sz w:val="23"/>
          <w:szCs w:val="23"/>
        </w:rPr>
        <w:t>(</w:t>
      </w:r>
      <w:r w:rsidR="009F46A7">
        <w:rPr>
          <w:rFonts w:ascii="Book Antiqua" w:hAnsi="Book Antiqua"/>
          <w:b/>
          <w:bCs/>
          <w:sz w:val="23"/>
          <w:szCs w:val="23"/>
        </w:rPr>
        <w:t>PDF602</w:t>
      </w:r>
      <w:r w:rsidR="00F5771C">
        <w:rPr>
          <w:rFonts w:ascii="Book Antiqua" w:hAnsi="Book Antiqua"/>
          <w:b/>
          <w:bCs/>
          <w:sz w:val="23"/>
          <w:szCs w:val="23"/>
        </w:rPr>
        <w:t>)</w:t>
      </w:r>
      <w:r w:rsidR="009F46A7">
        <w:rPr>
          <w:rFonts w:ascii="Book Antiqua" w:hAnsi="Book Antiqua"/>
          <w:b/>
          <w:bCs/>
          <w:sz w:val="23"/>
          <w:szCs w:val="23"/>
        </w:rPr>
        <w:t>]</w:t>
      </w:r>
      <w:r w:rsidR="00B80FA2" w:rsidRPr="00C3428A">
        <w:rPr>
          <w:rFonts w:ascii="Book Antiqua" w:hAnsi="Book Antiqua"/>
          <w:sz w:val="23"/>
          <w:szCs w:val="23"/>
        </w:rPr>
        <w:t xml:space="preserve">. </w:t>
      </w:r>
      <w:r w:rsidR="00A02913" w:rsidRPr="00C3428A">
        <w:rPr>
          <w:rFonts w:ascii="Book Antiqua" w:hAnsi="Book Antiqua"/>
          <w:sz w:val="23"/>
          <w:szCs w:val="23"/>
        </w:rPr>
        <w:t xml:space="preserve">They departed at 10:20pm on 16 May 2024. </w:t>
      </w:r>
    </w:p>
    <w:p w14:paraId="0CC8F9A9" w14:textId="4EFE6CCE" w:rsidR="00B617C8" w:rsidRPr="00C3428A" w:rsidRDefault="000B012E" w:rsidP="00624586">
      <w:pPr>
        <w:pStyle w:val="ListParagraph"/>
        <w:numPr>
          <w:ilvl w:val="0"/>
          <w:numId w:val="3"/>
        </w:numPr>
        <w:spacing w:line="360" w:lineRule="auto"/>
        <w:ind w:left="567" w:hanging="567"/>
        <w:contextualSpacing w:val="0"/>
        <w:jc w:val="both"/>
        <w:rPr>
          <w:rFonts w:ascii="Book Antiqua" w:hAnsi="Book Antiqua"/>
          <w:sz w:val="23"/>
          <w:szCs w:val="23"/>
        </w:rPr>
      </w:pPr>
      <w:r w:rsidRPr="00C3428A">
        <w:rPr>
          <w:rFonts w:ascii="Book Antiqua" w:hAnsi="Book Antiqua"/>
          <w:sz w:val="23"/>
          <w:szCs w:val="23"/>
        </w:rPr>
        <w:t>On</w:t>
      </w:r>
      <w:r w:rsidR="003113E9" w:rsidRPr="00C3428A">
        <w:rPr>
          <w:rFonts w:ascii="Book Antiqua" w:hAnsi="Book Antiqua"/>
          <w:sz w:val="23"/>
          <w:szCs w:val="23"/>
        </w:rPr>
        <w:t xml:space="preserve"> 22 November 2024, a group of Defendants entered Greenwich House</w:t>
      </w:r>
      <w:r w:rsidRPr="00C3428A">
        <w:rPr>
          <w:rFonts w:ascii="Book Antiqua" w:hAnsi="Book Antiqua"/>
          <w:sz w:val="23"/>
          <w:szCs w:val="23"/>
        </w:rPr>
        <w:t>, activated the fire alarm and, once all staff had evacuated the building, blockaded the entrances and exits</w:t>
      </w:r>
      <w:r w:rsidR="00B617C8" w:rsidRPr="00C3428A">
        <w:rPr>
          <w:rFonts w:ascii="Book Antiqua" w:hAnsi="Book Antiqua"/>
          <w:sz w:val="23"/>
          <w:szCs w:val="23"/>
        </w:rPr>
        <w:t xml:space="preserve"> to prevent re-entry</w:t>
      </w:r>
      <w:r w:rsidR="005F59C0">
        <w:rPr>
          <w:rFonts w:ascii="Book Antiqua" w:hAnsi="Book Antiqua"/>
          <w:sz w:val="23"/>
          <w:szCs w:val="23"/>
        </w:rPr>
        <w:t xml:space="preserve"> </w:t>
      </w:r>
      <w:r w:rsidR="005F59C0">
        <w:rPr>
          <w:rFonts w:ascii="Book Antiqua" w:hAnsi="Book Antiqua"/>
          <w:b/>
          <w:bCs/>
          <w:sz w:val="23"/>
          <w:szCs w:val="23"/>
        </w:rPr>
        <w:t>[</w:t>
      </w:r>
      <w:r w:rsidR="00211D7C">
        <w:rPr>
          <w:rFonts w:ascii="Book Antiqua" w:hAnsi="Book Antiqua"/>
          <w:b/>
          <w:bCs/>
          <w:sz w:val="23"/>
          <w:szCs w:val="23"/>
        </w:rPr>
        <w:t>HB</w:t>
      </w:r>
      <w:r w:rsidR="007F3366">
        <w:rPr>
          <w:rFonts w:ascii="Book Antiqua" w:hAnsi="Book Antiqua"/>
          <w:b/>
          <w:bCs/>
          <w:sz w:val="23"/>
          <w:szCs w:val="23"/>
        </w:rPr>
        <w:t>/</w:t>
      </w:r>
      <w:r w:rsidR="00802C14">
        <w:rPr>
          <w:rFonts w:ascii="Book Antiqua" w:hAnsi="Book Antiqua"/>
          <w:b/>
          <w:bCs/>
          <w:sz w:val="23"/>
          <w:szCs w:val="23"/>
        </w:rPr>
        <w:t>7/</w:t>
      </w:r>
      <w:r w:rsidR="007F3366">
        <w:rPr>
          <w:rFonts w:ascii="Book Antiqua" w:hAnsi="Book Antiqua"/>
          <w:b/>
          <w:bCs/>
          <w:sz w:val="23"/>
          <w:szCs w:val="23"/>
        </w:rPr>
        <w:t>370-373</w:t>
      </w:r>
      <w:r w:rsidR="007D42E4">
        <w:rPr>
          <w:rFonts w:ascii="Book Antiqua" w:hAnsi="Book Antiqua"/>
          <w:b/>
          <w:bCs/>
          <w:sz w:val="23"/>
          <w:szCs w:val="23"/>
        </w:rPr>
        <w:t>,</w:t>
      </w:r>
      <w:r w:rsidR="00A2672D">
        <w:rPr>
          <w:rFonts w:ascii="Book Antiqua" w:hAnsi="Book Antiqua"/>
          <w:b/>
          <w:bCs/>
          <w:sz w:val="23"/>
          <w:szCs w:val="23"/>
        </w:rPr>
        <w:t xml:space="preserve"> </w:t>
      </w:r>
      <w:r w:rsidR="00A36C18">
        <w:rPr>
          <w:rFonts w:ascii="Book Antiqua" w:hAnsi="Book Antiqua"/>
          <w:b/>
          <w:bCs/>
          <w:sz w:val="23"/>
          <w:szCs w:val="23"/>
        </w:rPr>
        <w:t xml:space="preserve">400, </w:t>
      </w:r>
      <w:r w:rsidR="00A2672D">
        <w:rPr>
          <w:rFonts w:ascii="Book Antiqua" w:hAnsi="Book Antiqua"/>
          <w:b/>
          <w:bCs/>
          <w:sz w:val="23"/>
          <w:szCs w:val="23"/>
        </w:rPr>
        <w:t>470-</w:t>
      </w:r>
      <w:r w:rsidR="00A91AE1">
        <w:rPr>
          <w:rFonts w:ascii="Book Antiqua" w:hAnsi="Book Antiqua"/>
          <w:b/>
          <w:bCs/>
          <w:sz w:val="23"/>
          <w:szCs w:val="23"/>
        </w:rPr>
        <w:t>540</w:t>
      </w:r>
      <w:r w:rsidR="00F5771C">
        <w:rPr>
          <w:rFonts w:ascii="Book Antiqua" w:hAnsi="Book Antiqua"/>
          <w:b/>
          <w:bCs/>
          <w:sz w:val="23"/>
          <w:szCs w:val="23"/>
        </w:rPr>
        <w:t xml:space="preserve"> (</w:t>
      </w:r>
      <w:r w:rsidR="00802C14">
        <w:rPr>
          <w:rFonts w:ascii="Book Antiqua" w:hAnsi="Book Antiqua"/>
          <w:b/>
          <w:bCs/>
          <w:sz w:val="23"/>
          <w:szCs w:val="23"/>
        </w:rPr>
        <w:t>PDF372-375, 402, 472-542</w:t>
      </w:r>
      <w:r w:rsidR="00F5771C">
        <w:rPr>
          <w:rFonts w:ascii="Book Antiqua" w:hAnsi="Book Antiqua"/>
          <w:b/>
          <w:bCs/>
          <w:sz w:val="23"/>
          <w:szCs w:val="23"/>
        </w:rPr>
        <w:t>)</w:t>
      </w:r>
      <w:r w:rsidR="00802C14">
        <w:rPr>
          <w:rFonts w:ascii="Book Antiqua" w:hAnsi="Book Antiqua"/>
          <w:b/>
          <w:bCs/>
          <w:sz w:val="23"/>
          <w:szCs w:val="23"/>
        </w:rPr>
        <w:t>]</w:t>
      </w:r>
      <w:r w:rsidRPr="00C3428A">
        <w:rPr>
          <w:rFonts w:ascii="Book Antiqua" w:hAnsi="Book Antiqua"/>
          <w:sz w:val="23"/>
          <w:szCs w:val="23"/>
        </w:rPr>
        <w:t xml:space="preserve">. </w:t>
      </w:r>
      <w:r w:rsidR="00D03A66" w:rsidRPr="00C3428A">
        <w:rPr>
          <w:rFonts w:ascii="Book Antiqua" w:hAnsi="Book Antiqua"/>
          <w:sz w:val="23"/>
          <w:szCs w:val="23"/>
        </w:rPr>
        <w:t>During this time, the Defendants gained access to restricted areas of the building, open</w:t>
      </w:r>
      <w:r w:rsidR="00733002">
        <w:rPr>
          <w:rFonts w:ascii="Book Antiqua" w:hAnsi="Book Antiqua"/>
          <w:sz w:val="23"/>
          <w:szCs w:val="23"/>
        </w:rPr>
        <w:t>ed</w:t>
      </w:r>
      <w:r w:rsidR="00D03A66" w:rsidRPr="00C3428A">
        <w:rPr>
          <w:rFonts w:ascii="Book Antiqua" w:hAnsi="Book Antiqua"/>
          <w:sz w:val="23"/>
          <w:szCs w:val="23"/>
        </w:rPr>
        <w:t xml:space="preserve"> locked cabinets and searc</w:t>
      </w:r>
      <w:r w:rsidR="00733002">
        <w:rPr>
          <w:rFonts w:ascii="Book Antiqua" w:hAnsi="Book Antiqua"/>
          <w:sz w:val="23"/>
          <w:szCs w:val="23"/>
        </w:rPr>
        <w:t>hed</w:t>
      </w:r>
      <w:r w:rsidR="00D03A66" w:rsidRPr="00C3428A">
        <w:rPr>
          <w:rFonts w:ascii="Book Antiqua" w:hAnsi="Book Antiqua"/>
          <w:sz w:val="23"/>
          <w:szCs w:val="23"/>
        </w:rPr>
        <w:t xml:space="preserve"> through them. Due to the </w:t>
      </w:r>
      <w:r w:rsidR="00507EE7" w:rsidRPr="00C3428A">
        <w:rPr>
          <w:rFonts w:ascii="Book Antiqua" w:hAnsi="Book Antiqua"/>
          <w:sz w:val="23"/>
          <w:szCs w:val="23"/>
        </w:rPr>
        <w:t>confidential and commercially sensitive nature of the documents kept in Greenwich House, the University applied for and obtained an injunction on 16 December 2024 which</w:t>
      </w:r>
      <w:r w:rsidR="005A55D9" w:rsidRPr="00C3428A">
        <w:rPr>
          <w:rFonts w:ascii="Book Antiqua" w:hAnsi="Book Antiqua"/>
          <w:sz w:val="23"/>
          <w:szCs w:val="23"/>
        </w:rPr>
        <w:t xml:space="preserve">, </w:t>
      </w:r>
      <w:r w:rsidR="005A55D9" w:rsidRPr="00C3428A">
        <w:rPr>
          <w:rFonts w:ascii="Book Antiqua" w:hAnsi="Book Antiqua"/>
          <w:i/>
          <w:iCs/>
          <w:sz w:val="23"/>
          <w:szCs w:val="23"/>
        </w:rPr>
        <w:t xml:space="preserve">inter alia, </w:t>
      </w:r>
      <w:r w:rsidR="005A55D9" w:rsidRPr="00C3428A">
        <w:rPr>
          <w:rFonts w:ascii="Book Antiqua" w:hAnsi="Book Antiqua"/>
          <w:sz w:val="23"/>
          <w:szCs w:val="23"/>
        </w:rPr>
        <w:t xml:space="preserve">prohibited the defendants from using, publishing or disclosing any documents or information obtained </w:t>
      </w:r>
      <w:r w:rsidR="00077EC9" w:rsidRPr="00C3428A">
        <w:rPr>
          <w:rFonts w:ascii="Book Antiqua" w:hAnsi="Book Antiqua"/>
          <w:sz w:val="23"/>
          <w:szCs w:val="23"/>
        </w:rPr>
        <w:t>whilst in Greenwich House</w:t>
      </w:r>
      <w:r w:rsidR="00A91AE1">
        <w:rPr>
          <w:rFonts w:ascii="Book Antiqua" w:hAnsi="Book Antiqua"/>
          <w:sz w:val="23"/>
          <w:szCs w:val="23"/>
        </w:rPr>
        <w:t xml:space="preserve"> </w:t>
      </w:r>
      <w:r w:rsidR="00A91AE1">
        <w:rPr>
          <w:rFonts w:ascii="Book Antiqua" w:hAnsi="Book Antiqua"/>
          <w:b/>
          <w:bCs/>
          <w:sz w:val="23"/>
          <w:szCs w:val="23"/>
        </w:rPr>
        <w:t>[</w:t>
      </w:r>
      <w:r w:rsidR="00211D7C">
        <w:rPr>
          <w:rFonts w:ascii="Book Antiqua" w:hAnsi="Book Antiqua"/>
          <w:b/>
          <w:bCs/>
          <w:sz w:val="23"/>
          <w:szCs w:val="23"/>
        </w:rPr>
        <w:t>HB</w:t>
      </w:r>
      <w:r w:rsidR="00A91AE1">
        <w:rPr>
          <w:rFonts w:ascii="Book Antiqua" w:hAnsi="Book Antiqua"/>
          <w:b/>
          <w:bCs/>
          <w:sz w:val="23"/>
          <w:szCs w:val="23"/>
        </w:rPr>
        <w:t>/</w:t>
      </w:r>
      <w:r w:rsidR="00802C14">
        <w:rPr>
          <w:rFonts w:ascii="Book Antiqua" w:hAnsi="Book Antiqua"/>
          <w:b/>
          <w:bCs/>
          <w:sz w:val="23"/>
          <w:szCs w:val="23"/>
        </w:rPr>
        <w:t>7/</w:t>
      </w:r>
      <w:r w:rsidR="00C56CC7">
        <w:rPr>
          <w:rFonts w:ascii="Book Antiqua" w:hAnsi="Book Antiqua"/>
          <w:b/>
          <w:bCs/>
          <w:sz w:val="23"/>
          <w:szCs w:val="23"/>
        </w:rPr>
        <w:t>154</w:t>
      </w:r>
      <w:r w:rsidR="00F5771C">
        <w:rPr>
          <w:rFonts w:ascii="Book Antiqua" w:hAnsi="Book Antiqua"/>
          <w:b/>
          <w:bCs/>
          <w:sz w:val="23"/>
          <w:szCs w:val="23"/>
        </w:rPr>
        <w:t>(</w:t>
      </w:r>
      <w:r w:rsidR="00802C14">
        <w:rPr>
          <w:rFonts w:ascii="Book Antiqua" w:hAnsi="Book Antiqua"/>
          <w:b/>
          <w:bCs/>
          <w:sz w:val="23"/>
          <w:szCs w:val="23"/>
        </w:rPr>
        <w:t>PDF156</w:t>
      </w:r>
      <w:r w:rsidR="00F5771C">
        <w:rPr>
          <w:rFonts w:ascii="Book Antiqua" w:hAnsi="Book Antiqua"/>
          <w:b/>
          <w:bCs/>
          <w:sz w:val="23"/>
          <w:szCs w:val="23"/>
        </w:rPr>
        <w:t>)</w:t>
      </w:r>
      <w:r w:rsidR="00802C14">
        <w:rPr>
          <w:rFonts w:ascii="Book Antiqua" w:hAnsi="Book Antiqua"/>
          <w:b/>
          <w:bCs/>
          <w:sz w:val="23"/>
          <w:szCs w:val="23"/>
        </w:rPr>
        <w:t>]</w:t>
      </w:r>
      <w:r w:rsidR="00077EC9" w:rsidRPr="00C3428A">
        <w:rPr>
          <w:rFonts w:ascii="Book Antiqua" w:hAnsi="Book Antiqua"/>
          <w:sz w:val="23"/>
          <w:szCs w:val="23"/>
        </w:rPr>
        <w:t xml:space="preserve">. </w:t>
      </w:r>
      <w:r w:rsidR="00B617C8" w:rsidRPr="00C3428A">
        <w:rPr>
          <w:rFonts w:ascii="Book Antiqua" w:hAnsi="Book Antiqua"/>
          <w:sz w:val="23"/>
          <w:szCs w:val="23"/>
        </w:rPr>
        <w:t xml:space="preserve"> The Defendants departed on 6 December 2024.</w:t>
      </w:r>
    </w:p>
    <w:p w14:paraId="2EBE8099" w14:textId="2111BA56" w:rsidR="005C423C" w:rsidRDefault="00B617C8" w:rsidP="00624586">
      <w:pPr>
        <w:pStyle w:val="ListParagraph"/>
        <w:numPr>
          <w:ilvl w:val="0"/>
          <w:numId w:val="3"/>
        </w:numPr>
        <w:spacing w:line="360" w:lineRule="auto"/>
        <w:ind w:left="567" w:hanging="567"/>
        <w:contextualSpacing w:val="0"/>
        <w:jc w:val="both"/>
        <w:rPr>
          <w:rFonts w:ascii="Book Antiqua" w:hAnsi="Book Antiqua"/>
          <w:sz w:val="23"/>
          <w:szCs w:val="23"/>
        </w:rPr>
      </w:pPr>
      <w:r w:rsidRPr="00C3428A">
        <w:rPr>
          <w:rFonts w:ascii="Book Antiqua" w:hAnsi="Book Antiqua"/>
          <w:sz w:val="23"/>
          <w:szCs w:val="23"/>
        </w:rPr>
        <w:t xml:space="preserve">On 27 November 2024, a group of Defendants </w:t>
      </w:r>
      <w:r w:rsidR="00335B6D" w:rsidRPr="00C3428A">
        <w:rPr>
          <w:rFonts w:ascii="Book Antiqua" w:hAnsi="Book Antiqua"/>
          <w:sz w:val="23"/>
          <w:szCs w:val="23"/>
        </w:rPr>
        <w:t xml:space="preserve">entered Senate House Yard by climbing over the </w:t>
      </w:r>
      <w:r w:rsidR="00360E2D" w:rsidRPr="00C3428A">
        <w:rPr>
          <w:rFonts w:ascii="Book Antiqua" w:hAnsi="Book Antiqua"/>
          <w:sz w:val="23"/>
          <w:szCs w:val="23"/>
        </w:rPr>
        <w:t xml:space="preserve">perimeter fence. </w:t>
      </w:r>
      <w:r w:rsidR="00822162" w:rsidRPr="00C3428A">
        <w:rPr>
          <w:rFonts w:ascii="Book Antiqua" w:hAnsi="Book Antiqua"/>
          <w:sz w:val="23"/>
          <w:szCs w:val="23"/>
        </w:rPr>
        <w:t>They set up an encampment with approximately 6 tents on Senate House Yard</w:t>
      </w:r>
      <w:r w:rsidR="0086671C">
        <w:rPr>
          <w:rFonts w:ascii="Book Antiqua" w:hAnsi="Book Antiqua"/>
          <w:sz w:val="23"/>
          <w:szCs w:val="23"/>
        </w:rPr>
        <w:t xml:space="preserve"> </w:t>
      </w:r>
      <w:r w:rsidR="0086671C">
        <w:rPr>
          <w:rFonts w:ascii="Book Antiqua" w:hAnsi="Book Antiqua"/>
          <w:b/>
          <w:bCs/>
          <w:sz w:val="23"/>
          <w:szCs w:val="23"/>
        </w:rPr>
        <w:t>[</w:t>
      </w:r>
      <w:r w:rsidR="00211D7C">
        <w:rPr>
          <w:rFonts w:ascii="Book Antiqua" w:hAnsi="Book Antiqua"/>
          <w:b/>
          <w:bCs/>
          <w:sz w:val="23"/>
          <w:szCs w:val="23"/>
        </w:rPr>
        <w:t>HB</w:t>
      </w:r>
      <w:r w:rsidR="00575E93">
        <w:rPr>
          <w:rFonts w:ascii="Book Antiqua" w:hAnsi="Book Antiqua"/>
          <w:b/>
          <w:bCs/>
          <w:sz w:val="23"/>
          <w:szCs w:val="23"/>
        </w:rPr>
        <w:t>/</w:t>
      </w:r>
      <w:r w:rsidR="00802C14">
        <w:rPr>
          <w:rFonts w:ascii="Book Antiqua" w:hAnsi="Book Antiqua"/>
          <w:b/>
          <w:bCs/>
          <w:sz w:val="23"/>
          <w:szCs w:val="23"/>
        </w:rPr>
        <w:t>7/</w:t>
      </w:r>
      <w:r w:rsidR="008E5A97">
        <w:rPr>
          <w:rFonts w:ascii="Book Antiqua" w:hAnsi="Book Antiqua"/>
          <w:b/>
          <w:bCs/>
          <w:sz w:val="23"/>
          <w:szCs w:val="23"/>
        </w:rPr>
        <w:t>394-</w:t>
      </w:r>
      <w:r w:rsidR="00575E93">
        <w:rPr>
          <w:rFonts w:ascii="Book Antiqua" w:hAnsi="Book Antiqua"/>
          <w:b/>
          <w:bCs/>
          <w:sz w:val="23"/>
          <w:szCs w:val="23"/>
        </w:rPr>
        <w:t>404</w:t>
      </w:r>
      <w:r w:rsidR="00727802">
        <w:rPr>
          <w:rFonts w:ascii="Book Antiqua" w:hAnsi="Book Antiqua"/>
          <w:b/>
          <w:bCs/>
          <w:sz w:val="23"/>
          <w:szCs w:val="23"/>
        </w:rPr>
        <w:t xml:space="preserve">, </w:t>
      </w:r>
      <w:r w:rsidR="00FF2E8C">
        <w:rPr>
          <w:rFonts w:ascii="Book Antiqua" w:hAnsi="Book Antiqua"/>
          <w:b/>
          <w:bCs/>
          <w:sz w:val="23"/>
          <w:szCs w:val="23"/>
        </w:rPr>
        <w:t>584-</w:t>
      </w:r>
      <w:r w:rsidR="001D1F9D">
        <w:rPr>
          <w:rFonts w:ascii="Book Antiqua" w:hAnsi="Book Antiqua"/>
          <w:b/>
          <w:bCs/>
          <w:sz w:val="23"/>
          <w:szCs w:val="23"/>
        </w:rPr>
        <w:t>592</w:t>
      </w:r>
      <w:r w:rsidR="00F5771C">
        <w:rPr>
          <w:rFonts w:ascii="Book Antiqua" w:hAnsi="Book Antiqua"/>
          <w:b/>
          <w:bCs/>
          <w:sz w:val="23"/>
          <w:szCs w:val="23"/>
        </w:rPr>
        <w:t xml:space="preserve"> (</w:t>
      </w:r>
      <w:r w:rsidR="00802C14">
        <w:rPr>
          <w:rFonts w:ascii="Book Antiqua" w:hAnsi="Book Antiqua"/>
          <w:b/>
          <w:bCs/>
          <w:sz w:val="23"/>
          <w:szCs w:val="23"/>
        </w:rPr>
        <w:t>PDF396-406, 586-594</w:t>
      </w:r>
      <w:r w:rsidR="00F5771C">
        <w:rPr>
          <w:rFonts w:ascii="Book Antiqua" w:hAnsi="Book Antiqua"/>
          <w:b/>
          <w:bCs/>
          <w:sz w:val="23"/>
          <w:szCs w:val="23"/>
        </w:rPr>
        <w:t>)</w:t>
      </w:r>
      <w:r w:rsidR="00802C14">
        <w:rPr>
          <w:rFonts w:ascii="Book Antiqua" w:hAnsi="Book Antiqua"/>
          <w:b/>
          <w:bCs/>
          <w:sz w:val="23"/>
          <w:szCs w:val="23"/>
        </w:rPr>
        <w:t>]</w:t>
      </w:r>
      <w:r w:rsidR="0086671C" w:rsidRPr="0086671C">
        <w:rPr>
          <w:rFonts w:ascii="Book Antiqua" w:hAnsi="Book Antiqua"/>
          <w:sz w:val="23"/>
          <w:szCs w:val="23"/>
        </w:rPr>
        <w:t>. This was</w:t>
      </w:r>
      <w:r w:rsidR="00822162" w:rsidRPr="00C3428A">
        <w:rPr>
          <w:rFonts w:ascii="Book Antiqua" w:hAnsi="Book Antiqua"/>
          <w:sz w:val="23"/>
          <w:szCs w:val="23"/>
        </w:rPr>
        <w:t xml:space="preserve"> for </w:t>
      </w:r>
      <w:r w:rsidR="00841D31" w:rsidRPr="00C3428A">
        <w:rPr>
          <w:rFonts w:ascii="Book Antiqua" w:hAnsi="Book Antiqua"/>
          <w:sz w:val="23"/>
          <w:szCs w:val="23"/>
        </w:rPr>
        <w:t xml:space="preserve">the ostensible purpose of preventing graduation ceremonies taking place at Senate House on </w:t>
      </w:r>
      <w:r w:rsidR="00937DA7" w:rsidRPr="00C3428A">
        <w:rPr>
          <w:rFonts w:ascii="Book Antiqua" w:hAnsi="Book Antiqua"/>
          <w:sz w:val="23"/>
          <w:szCs w:val="23"/>
        </w:rPr>
        <w:t>30</w:t>
      </w:r>
      <w:r w:rsidR="00841D31" w:rsidRPr="00C3428A">
        <w:rPr>
          <w:rFonts w:ascii="Book Antiqua" w:hAnsi="Book Antiqua"/>
          <w:sz w:val="23"/>
          <w:szCs w:val="23"/>
        </w:rPr>
        <w:t xml:space="preserve"> November 2025</w:t>
      </w:r>
      <w:r w:rsidR="00A138B3">
        <w:rPr>
          <w:rFonts w:ascii="Book Antiqua" w:hAnsi="Book Antiqua"/>
          <w:sz w:val="23"/>
          <w:szCs w:val="23"/>
        </w:rPr>
        <w:t xml:space="preserve"> </w:t>
      </w:r>
      <w:r w:rsidR="00A138B3">
        <w:rPr>
          <w:rFonts w:ascii="Book Antiqua" w:hAnsi="Book Antiqua"/>
          <w:b/>
          <w:bCs/>
          <w:sz w:val="23"/>
          <w:szCs w:val="23"/>
        </w:rPr>
        <w:t>[</w:t>
      </w:r>
      <w:r w:rsidR="00211D7C">
        <w:rPr>
          <w:rFonts w:ascii="Book Antiqua" w:hAnsi="Book Antiqua"/>
          <w:b/>
          <w:bCs/>
          <w:sz w:val="23"/>
          <w:szCs w:val="23"/>
        </w:rPr>
        <w:t>HB</w:t>
      </w:r>
      <w:r w:rsidR="00802C14">
        <w:rPr>
          <w:rFonts w:ascii="Book Antiqua" w:hAnsi="Book Antiqua"/>
          <w:b/>
          <w:bCs/>
          <w:sz w:val="23"/>
          <w:szCs w:val="23"/>
        </w:rPr>
        <w:t>/7</w:t>
      </w:r>
      <w:r w:rsidR="00A138B3">
        <w:rPr>
          <w:rFonts w:ascii="Book Antiqua" w:hAnsi="Book Antiqua"/>
          <w:b/>
          <w:bCs/>
          <w:sz w:val="23"/>
          <w:szCs w:val="23"/>
        </w:rPr>
        <w:t>/</w:t>
      </w:r>
      <w:r w:rsidR="00015CC6">
        <w:rPr>
          <w:rFonts w:ascii="Book Antiqua" w:hAnsi="Book Antiqua"/>
          <w:b/>
          <w:bCs/>
          <w:sz w:val="23"/>
          <w:szCs w:val="23"/>
        </w:rPr>
        <w:t>567</w:t>
      </w:r>
      <w:r w:rsidR="00E3192B">
        <w:rPr>
          <w:rFonts w:ascii="Book Antiqua" w:hAnsi="Book Antiqua"/>
          <w:b/>
          <w:bCs/>
          <w:sz w:val="23"/>
          <w:szCs w:val="23"/>
        </w:rPr>
        <w:t xml:space="preserve"> and </w:t>
      </w:r>
      <w:r w:rsidR="00196ACE">
        <w:rPr>
          <w:rFonts w:ascii="Book Antiqua" w:hAnsi="Book Antiqua"/>
          <w:b/>
          <w:bCs/>
          <w:sz w:val="23"/>
          <w:szCs w:val="23"/>
        </w:rPr>
        <w:t>580</w:t>
      </w:r>
      <w:r w:rsidR="00F5771C">
        <w:rPr>
          <w:rFonts w:ascii="Book Antiqua" w:hAnsi="Book Antiqua"/>
          <w:b/>
          <w:bCs/>
          <w:sz w:val="23"/>
          <w:szCs w:val="23"/>
        </w:rPr>
        <w:t xml:space="preserve"> (</w:t>
      </w:r>
      <w:r w:rsidR="00802C14">
        <w:rPr>
          <w:rFonts w:ascii="Book Antiqua" w:hAnsi="Book Antiqua"/>
          <w:b/>
          <w:bCs/>
          <w:sz w:val="23"/>
          <w:szCs w:val="23"/>
        </w:rPr>
        <w:t>PDF569 and 582</w:t>
      </w:r>
      <w:r w:rsidR="00F5771C">
        <w:rPr>
          <w:rFonts w:ascii="Book Antiqua" w:hAnsi="Book Antiqua"/>
          <w:b/>
          <w:bCs/>
          <w:sz w:val="23"/>
          <w:szCs w:val="23"/>
        </w:rPr>
        <w:t>)</w:t>
      </w:r>
      <w:r w:rsidR="00802C14">
        <w:rPr>
          <w:rFonts w:ascii="Book Antiqua" w:hAnsi="Book Antiqua"/>
          <w:b/>
          <w:bCs/>
          <w:sz w:val="23"/>
          <w:szCs w:val="23"/>
        </w:rPr>
        <w:t>]</w:t>
      </w:r>
      <w:r w:rsidR="00841D31" w:rsidRPr="00C3428A">
        <w:rPr>
          <w:rFonts w:ascii="Book Antiqua" w:hAnsi="Book Antiqua"/>
          <w:sz w:val="23"/>
          <w:szCs w:val="23"/>
        </w:rPr>
        <w:t xml:space="preserve">. They departed on </w:t>
      </w:r>
      <w:r w:rsidR="00937DA7" w:rsidRPr="00C3428A">
        <w:rPr>
          <w:rFonts w:ascii="Book Antiqua" w:hAnsi="Book Antiqua"/>
          <w:sz w:val="23"/>
          <w:szCs w:val="23"/>
        </w:rPr>
        <w:t>30</w:t>
      </w:r>
      <w:r w:rsidR="00841D31" w:rsidRPr="00C3428A">
        <w:rPr>
          <w:rFonts w:ascii="Book Antiqua" w:hAnsi="Book Antiqua"/>
          <w:sz w:val="23"/>
          <w:szCs w:val="23"/>
        </w:rPr>
        <w:t xml:space="preserve"> </w:t>
      </w:r>
      <w:r w:rsidR="00AC176D" w:rsidRPr="00C3428A">
        <w:rPr>
          <w:rFonts w:ascii="Book Antiqua" w:hAnsi="Book Antiqua"/>
          <w:sz w:val="23"/>
          <w:szCs w:val="23"/>
        </w:rPr>
        <w:t>November 20</w:t>
      </w:r>
      <w:r w:rsidR="00841D31" w:rsidRPr="00C3428A">
        <w:rPr>
          <w:rFonts w:ascii="Book Antiqua" w:hAnsi="Book Antiqua"/>
          <w:sz w:val="23"/>
          <w:szCs w:val="23"/>
        </w:rPr>
        <w:t>24.</w:t>
      </w:r>
    </w:p>
    <w:p w14:paraId="7789E90C" w14:textId="77777777" w:rsidR="00E220FD" w:rsidRPr="00C3428A" w:rsidRDefault="00E220FD" w:rsidP="00E220FD">
      <w:pPr>
        <w:pStyle w:val="ListParagraph"/>
        <w:spacing w:line="360" w:lineRule="auto"/>
        <w:ind w:left="567"/>
        <w:contextualSpacing w:val="0"/>
        <w:jc w:val="both"/>
        <w:rPr>
          <w:rFonts w:ascii="Book Antiqua" w:hAnsi="Book Antiqua"/>
          <w:sz w:val="23"/>
          <w:szCs w:val="23"/>
        </w:rPr>
      </w:pPr>
    </w:p>
    <w:p w14:paraId="1D5607F6" w14:textId="46852151" w:rsidR="00AC176D" w:rsidRPr="00C3428A" w:rsidRDefault="00AC176D" w:rsidP="00603FF6">
      <w:pPr>
        <w:pStyle w:val="ListParagraph"/>
        <w:numPr>
          <w:ilvl w:val="0"/>
          <w:numId w:val="9"/>
        </w:numPr>
        <w:spacing w:line="360" w:lineRule="auto"/>
        <w:ind w:left="1134" w:hanging="567"/>
        <w:contextualSpacing w:val="0"/>
        <w:jc w:val="both"/>
        <w:rPr>
          <w:rFonts w:ascii="Book Antiqua" w:hAnsi="Book Antiqua"/>
          <w:b/>
          <w:bCs/>
          <w:sz w:val="23"/>
          <w:szCs w:val="23"/>
        </w:rPr>
      </w:pPr>
      <w:r w:rsidRPr="00C3428A">
        <w:rPr>
          <w:rFonts w:ascii="Book Antiqua" w:hAnsi="Book Antiqua"/>
          <w:b/>
          <w:bCs/>
          <w:sz w:val="23"/>
          <w:szCs w:val="23"/>
        </w:rPr>
        <w:t>Statements made by the Defendants</w:t>
      </w:r>
    </w:p>
    <w:p w14:paraId="2C2E52BC" w14:textId="50CAA691" w:rsidR="00AC176D" w:rsidRPr="00C3428A" w:rsidRDefault="00AC176D" w:rsidP="00624586">
      <w:pPr>
        <w:pStyle w:val="ListParagraph"/>
        <w:numPr>
          <w:ilvl w:val="0"/>
          <w:numId w:val="3"/>
        </w:numPr>
        <w:spacing w:line="360" w:lineRule="auto"/>
        <w:ind w:left="567" w:hanging="567"/>
        <w:contextualSpacing w:val="0"/>
        <w:jc w:val="both"/>
        <w:rPr>
          <w:rFonts w:ascii="Book Antiqua" w:hAnsi="Book Antiqua"/>
          <w:sz w:val="23"/>
          <w:szCs w:val="23"/>
        </w:rPr>
      </w:pPr>
      <w:r w:rsidRPr="00C3428A">
        <w:rPr>
          <w:rFonts w:ascii="Book Antiqua" w:hAnsi="Book Antiqua"/>
          <w:sz w:val="23"/>
          <w:szCs w:val="23"/>
        </w:rPr>
        <w:t xml:space="preserve">As well as the incidents of direct action, the Defendants have made various statements </w:t>
      </w:r>
      <w:r w:rsidR="00D3711A">
        <w:rPr>
          <w:rFonts w:ascii="Book Antiqua" w:hAnsi="Book Antiqua"/>
          <w:sz w:val="23"/>
          <w:szCs w:val="23"/>
        </w:rPr>
        <w:t>demonstrating</w:t>
      </w:r>
      <w:r w:rsidRPr="00C3428A">
        <w:rPr>
          <w:rFonts w:ascii="Book Antiqua" w:hAnsi="Book Antiqua"/>
          <w:sz w:val="23"/>
          <w:szCs w:val="23"/>
        </w:rPr>
        <w:t xml:space="preserve"> their </w:t>
      </w:r>
      <w:r w:rsidR="00D3711A">
        <w:rPr>
          <w:rFonts w:ascii="Book Antiqua" w:hAnsi="Book Antiqua"/>
          <w:sz w:val="23"/>
          <w:szCs w:val="23"/>
        </w:rPr>
        <w:t xml:space="preserve">continuing </w:t>
      </w:r>
      <w:r w:rsidRPr="00C3428A">
        <w:rPr>
          <w:rFonts w:ascii="Book Antiqua" w:hAnsi="Book Antiqua"/>
          <w:sz w:val="23"/>
          <w:szCs w:val="23"/>
        </w:rPr>
        <w:t xml:space="preserve">intention to </w:t>
      </w:r>
      <w:r w:rsidR="00D3711A">
        <w:rPr>
          <w:rFonts w:ascii="Book Antiqua" w:hAnsi="Book Antiqua"/>
          <w:sz w:val="23"/>
          <w:szCs w:val="23"/>
        </w:rPr>
        <w:t>car</w:t>
      </w:r>
      <w:r w:rsidR="00ED0BF6" w:rsidRPr="00C3428A">
        <w:rPr>
          <w:rFonts w:ascii="Book Antiqua" w:hAnsi="Book Antiqua"/>
          <w:sz w:val="23"/>
          <w:szCs w:val="23"/>
        </w:rPr>
        <w:t xml:space="preserve">ry out direct action. </w:t>
      </w:r>
    </w:p>
    <w:p w14:paraId="11B5F035" w14:textId="1553713B" w:rsidR="00940567" w:rsidRDefault="00940567" w:rsidP="00624586">
      <w:pPr>
        <w:pStyle w:val="ListParagraph"/>
        <w:numPr>
          <w:ilvl w:val="0"/>
          <w:numId w:val="3"/>
        </w:numPr>
        <w:spacing w:line="360" w:lineRule="auto"/>
        <w:ind w:left="567" w:hanging="567"/>
        <w:contextualSpacing w:val="0"/>
        <w:jc w:val="both"/>
        <w:rPr>
          <w:rFonts w:ascii="Book Antiqua" w:hAnsi="Book Antiqua"/>
          <w:sz w:val="23"/>
          <w:szCs w:val="23"/>
        </w:rPr>
      </w:pPr>
      <w:r>
        <w:rPr>
          <w:rFonts w:ascii="Book Antiqua" w:hAnsi="Book Antiqua"/>
          <w:sz w:val="23"/>
          <w:szCs w:val="23"/>
        </w:rPr>
        <w:t xml:space="preserve">On 27 November 2024, </w:t>
      </w:r>
      <w:r w:rsidR="00C91F9C">
        <w:rPr>
          <w:rFonts w:ascii="Book Antiqua" w:hAnsi="Book Antiqua"/>
          <w:sz w:val="23"/>
          <w:szCs w:val="23"/>
        </w:rPr>
        <w:t xml:space="preserve">after resuming its encampment on Senate House Yard, </w:t>
      </w:r>
      <w:r>
        <w:rPr>
          <w:rFonts w:ascii="Book Antiqua" w:hAnsi="Book Antiqua"/>
          <w:sz w:val="23"/>
          <w:szCs w:val="23"/>
        </w:rPr>
        <w:t>Cambridge for Palestine declared that, “</w:t>
      </w:r>
      <w:r>
        <w:rPr>
          <w:rFonts w:ascii="Book Antiqua" w:hAnsi="Book Antiqua"/>
          <w:i/>
          <w:iCs/>
          <w:sz w:val="23"/>
          <w:szCs w:val="23"/>
        </w:rPr>
        <w:t>our movement is left with no option other than principled escalation”</w:t>
      </w:r>
      <w:r w:rsidR="003431DD">
        <w:rPr>
          <w:rFonts w:ascii="Book Antiqua" w:hAnsi="Book Antiqua"/>
          <w:i/>
          <w:iCs/>
          <w:sz w:val="23"/>
          <w:szCs w:val="23"/>
        </w:rPr>
        <w:t xml:space="preserve">, </w:t>
      </w:r>
      <w:r w:rsidR="002A1E6D">
        <w:rPr>
          <w:rFonts w:ascii="Book Antiqua" w:hAnsi="Book Antiqua"/>
          <w:sz w:val="23"/>
          <w:szCs w:val="23"/>
        </w:rPr>
        <w:t>“</w:t>
      </w:r>
      <w:r w:rsidR="001B17AA">
        <w:rPr>
          <w:rFonts w:ascii="Book Antiqua" w:hAnsi="Book Antiqua"/>
          <w:i/>
          <w:iCs/>
          <w:sz w:val="23"/>
          <w:szCs w:val="23"/>
        </w:rPr>
        <w:t>long</w:t>
      </w:r>
      <w:r w:rsidR="002A1E6D">
        <w:rPr>
          <w:rFonts w:ascii="Book Antiqua" w:hAnsi="Book Antiqua"/>
          <w:i/>
          <w:iCs/>
          <w:sz w:val="23"/>
          <w:szCs w:val="23"/>
        </w:rPr>
        <w:t xml:space="preserve"> live the student intifada”</w:t>
      </w:r>
      <w:r w:rsidR="003431DD">
        <w:rPr>
          <w:rFonts w:ascii="Book Antiqua" w:hAnsi="Book Antiqua"/>
          <w:sz w:val="23"/>
          <w:szCs w:val="23"/>
        </w:rPr>
        <w:t xml:space="preserve"> and stated that “</w:t>
      </w:r>
      <w:r w:rsidR="003431DD">
        <w:rPr>
          <w:rFonts w:ascii="Book Antiqua" w:hAnsi="Book Antiqua"/>
          <w:i/>
          <w:iCs/>
          <w:sz w:val="23"/>
          <w:szCs w:val="23"/>
        </w:rPr>
        <w:t>The Cambridge Liberated Zone has expanded and will continue to do so”</w:t>
      </w:r>
      <w:r w:rsidR="002A1E6D">
        <w:rPr>
          <w:rFonts w:ascii="Book Antiqua" w:hAnsi="Book Antiqua"/>
          <w:i/>
          <w:iCs/>
          <w:sz w:val="23"/>
          <w:szCs w:val="23"/>
        </w:rPr>
        <w:t xml:space="preserve"> </w:t>
      </w:r>
      <w:r w:rsidR="006874BC">
        <w:rPr>
          <w:rFonts w:ascii="Book Antiqua" w:hAnsi="Book Antiqua"/>
          <w:b/>
          <w:bCs/>
          <w:sz w:val="23"/>
          <w:szCs w:val="23"/>
        </w:rPr>
        <w:t>[</w:t>
      </w:r>
      <w:r w:rsidR="00211D7C">
        <w:rPr>
          <w:rFonts w:ascii="Book Antiqua" w:hAnsi="Book Antiqua"/>
          <w:b/>
          <w:bCs/>
          <w:sz w:val="23"/>
          <w:szCs w:val="23"/>
        </w:rPr>
        <w:t>HB</w:t>
      </w:r>
      <w:r w:rsidR="006874BC">
        <w:rPr>
          <w:rFonts w:ascii="Book Antiqua" w:hAnsi="Book Antiqua"/>
          <w:b/>
          <w:bCs/>
          <w:sz w:val="23"/>
          <w:szCs w:val="23"/>
        </w:rPr>
        <w:t>/</w:t>
      </w:r>
      <w:r w:rsidR="00802C14">
        <w:rPr>
          <w:rFonts w:ascii="Book Antiqua" w:hAnsi="Book Antiqua"/>
          <w:b/>
          <w:bCs/>
          <w:sz w:val="23"/>
          <w:szCs w:val="23"/>
        </w:rPr>
        <w:t>7/</w:t>
      </w:r>
      <w:r w:rsidR="00183258">
        <w:rPr>
          <w:rFonts w:ascii="Book Antiqua" w:hAnsi="Book Antiqua"/>
          <w:b/>
          <w:bCs/>
          <w:sz w:val="23"/>
          <w:szCs w:val="23"/>
        </w:rPr>
        <w:t>133</w:t>
      </w:r>
      <w:r w:rsidR="00F5771C">
        <w:rPr>
          <w:rFonts w:ascii="Book Antiqua" w:hAnsi="Book Antiqua"/>
          <w:b/>
          <w:bCs/>
          <w:sz w:val="23"/>
          <w:szCs w:val="23"/>
        </w:rPr>
        <w:t>(</w:t>
      </w:r>
      <w:r w:rsidR="00802C14">
        <w:rPr>
          <w:rFonts w:ascii="Book Antiqua" w:hAnsi="Book Antiqua"/>
          <w:b/>
          <w:bCs/>
          <w:sz w:val="23"/>
          <w:szCs w:val="23"/>
        </w:rPr>
        <w:t>PDF135</w:t>
      </w:r>
      <w:r w:rsidR="00F5771C">
        <w:rPr>
          <w:rFonts w:ascii="Book Antiqua" w:hAnsi="Book Antiqua"/>
          <w:b/>
          <w:bCs/>
          <w:sz w:val="23"/>
          <w:szCs w:val="23"/>
        </w:rPr>
        <w:t>)</w:t>
      </w:r>
      <w:r w:rsidR="00802C14">
        <w:rPr>
          <w:rFonts w:ascii="Book Antiqua" w:hAnsi="Book Antiqua"/>
          <w:b/>
          <w:bCs/>
          <w:sz w:val="23"/>
          <w:szCs w:val="23"/>
        </w:rPr>
        <w:t>]</w:t>
      </w:r>
      <w:r w:rsidR="006874BC">
        <w:rPr>
          <w:rFonts w:ascii="Book Antiqua" w:hAnsi="Book Antiqua"/>
          <w:b/>
          <w:bCs/>
          <w:sz w:val="23"/>
          <w:szCs w:val="23"/>
        </w:rPr>
        <w:t>.</w:t>
      </w:r>
    </w:p>
    <w:p w14:paraId="6F92389A" w14:textId="4E49E1FA" w:rsidR="00EA3557" w:rsidRDefault="00EA3557" w:rsidP="00624586">
      <w:pPr>
        <w:pStyle w:val="ListParagraph"/>
        <w:numPr>
          <w:ilvl w:val="0"/>
          <w:numId w:val="3"/>
        </w:numPr>
        <w:spacing w:line="360" w:lineRule="auto"/>
        <w:ind w:left="567" w:hanging="567"/>
        <w:contextualSpacing w:val="0"/>
        <w:jc w:val="both"/>
        <w:rPr>
          <w:rFonts w:ascii="Book Antiqua" w:hAnsi="Book Antiqua"/>
          <w:sz w:val="23"/>
          <w:szCs w:val="23"/>
        </w:rPr>
      </w:pPr>
      <w:r>
        <w:rPr>
          <w:rFonts w:ascii="Book Antiqua" w:hAnsi="Book Antiqua"/>
          <w:sz w:val="23"/>
          <w:szCs w:val="23"/>
        </w:rPr>
        <w:t>In further posts on 29 November 2024, Cambridge for Palestine stated that, “</w:t>
      </w:r>
      <w:r>
        <w:rPr>
          <w:rFonts w:ascii="Book Antiqua" w:hAnsi="Book Antiqua"/>
          <w:i/>
          <w:iCs/>
          <w:sz w:val="23"/>
          <w:szCs w:val="23"/>
        </w:rPr>
        <w:t>Such unprecedented times require sustained escalation”</w:t>
      </w:r>
      <w:r>
        <w:rPr>
          <w:rFonts w:ascii="Book Antiqua" w:hAnsi="Book Antiqua"/>
          <w:sz w:val="23"/>
          <w:szCs w:val="23"/>
        </w:rPr>
        <w:t xml:space="preserve"> </w:t>
      </w:r>
      <w:r w:rsidR="000E49ED">
        <w:rPr>
          <w:rFonts w:ascii="Book Antiqua" w:hAnsi="Book Antiqua"/>
          <w:sz w:val="23"/>
          <w:szCs w:val="23"/>
        </w:rPr>
        <w:t>and “</w:t>
      </w:r>
      <w:r w:rsidR="000E49ED">
        <w:rPr>
          <w:rFonts w:ascii="Book Antiqua" w:hAnsi="Book Antiqua"/>
          <w:i/>
          <w:iCs/>
          <w:sz w:val="23"/>
          <w:szCs w:val="23"/>
        </w:rPr>
        <w:t xml:space="preserve">As long as there are no universities left in Gaza, Cambridge will not know normalcy” </w:t>
      </w:r>
      <w:r>
        <w:rPr>
          <w:rFonts w:ascii="Book Antiqua" w:hAnsi="Book Antiqua"/>
          <w:b/>
          <w:bCs/>
          <w:sz w:val="23"/>
          <w:szCs w:val="23"/>
        </w:rPr>
        <w:t>[</w:t>
      </w:r>
      <w:r w:rsidR="00211D7C">
        <w:rPr>
          <w:rFonts w:ascii="Book Antiqua" w:hAnsi="Book Antiqua"/>
          <w:b/>
          <w:bCs/>
          <w:sz w:val="23"/>
          <w:szCs w:val="23"/>
        </w:rPr>
        <w:t>HB</w:t>
      </w:r>
      <w:r w:rsidR="00802C14">
        <w:rPr>
          <w:rFonts w:ascii="Book Antiqua" w:hAnsi="Book Antiqua"/>
          <w:b/>
          <w:bCs/>
          <w:sz w:val="23"/>
          <w:szCs w:val="23"/>
        </w:rPr>
        <w:t>/7</w:t>
      </w:r>
      <w:r w:rsidR="00183258">
        <w:rPr>
          <w:rFonts w:ascii="Book Antiqua" w:hAnsi="Book Antiqua"/>
          <w:b/>
          <w:bCs/>
          <w:sz w:val="23"/>
          <w:szCs w:val="23"/>
        </w:rPr>
        <w:t>/148</w:t>
      </w:r>
      <w:r w:rsidR="000E49ED">
        <w:rPr>
          <w:rFonts w:ascii="Book Antiqua" w:hAnsi="Book Antiqua"/>
          <w:b/>
          <w:bCs/>
          <w:sz w:val="23"/>
          <w:szCs w:val="23"/>
        </w:rPr>
        <w:t xml:space="preserve"> and </w:t>
      </w:r>
      <w:r w:rsidR="00183258">
        <w:rPr>
          <w:rFonts w:ascii="Book Antiqua" w:hAnsi="Book Antiqua"/>
          <w:b/>
          <w:bCs/>
          <w:sz w:val="23"/>
          <w:szCs w:val="23"/>
        </w:rPr>
        <w:t>150</w:t>
      </w:r>
      <w:r w:rsidR="00F5771C">
        <w:rPr>
          <w:rFonts w:ascii="Book Antiqua" w:hAnsi="Book Antiqua"/>
          <w:b/>
          <w:bCs/>
          <w:sz w:val="23"/>
          <w:szCs w:val="23"/>
        </w:rPr>
        <w:t>(</w:t>
      </w:r>
      <w:r w:rsidR="00802C14">
        <w:rPr>
          <w:rFonts w:ascii="Book Antiqua" w:hAnsi="Book Antiqua"/>
          <w:b/>
          <w:bCs/>
          <w:sz w:val="23"/>
          <w:szCs w:val="23"/>
        </w:rPr>
        <w:t>PDF150 and 152</w:t>
      </w:r>
      <w:r w:rsidR="00F5771C">
        <w:rPr>
          <w:rFonts w:ascii="Book Antiqua" w:hAnsi="Book Antiqua"/>
          <w:b/>
          <w:bCs/>
          <w:sz w:val="23"/>
          <w:szCs w:val="23"/>
        </w:rPr>
        <w:t>)</w:t>
      </w:r>
      <w:r w:rsidR="00802C14">
        <w:rPr>
          <w:rFonts w:ascii="Book Antiqua" w:hAnsi="Book Antiqua"/>
          <w:b/>
          <w:bCs/>
          <w:sz w:val="23"/>
          <w:szCs w:val="23"/>
        </w:rPr>
        <w:t>]</w:t>
      </w:r>
      <w:r>
        <w:rPr>
          <w:rFonts w:ascii="Book Antiqua" w:hAnsi="Book Antiqua"/>
          <w:sz w:val="23"/>
          <w:szCs w:val="23"/>
        </w:rPr>
        <w:t xml:space="preserve">. </w:t>
      </w:r>
    </w:p>
    <w:p w14:paraId="3700AEBB" w14:textId="57EFEC9B" w:rsidR="00D7085D" w:rsidRDefault="00D7085D" w:rsidP="00624586">
      <w:pPr>
        <w:pStyle w:val="ListParagraph"/>
        <w:numPr>
          <w:ilvl w:val="0"/>
          <w:numId w:val="3"/>
        </w:numPr>
        <w:spacing w:line="360" w:lineRule="auto"/>
        <w:ind w:left="567" w:hanging="567"/>
        <w:contextualSpacing w:val="0"/>
        <w:jc w:val="both"/>
        <w:rPr>
          <w:rFonts w:ascii="Book Antiqua" w:hAnsi="Book Antiqua"/>
          <w:sz w:val="23"/>
          <w:szCs w:val="23"/>
        </w:rPr>
      </w:pPr>
      <w:r w:rsidRPr="00C3428A">
        <w:rPr>
          <w:rFonts w:ascii="Book Antiqua" w:hAnsi="Book Antiqua"/>
          <w:sz w:val="23"/>
          <w:szCs w:val="23"/>
        </w:rPr>
        <w:t>On 30 November 2024, after leaving Senate House Yard, Cambridge for Palestine posted</w:t>
      </w:r>
      <w:r w:rsidR="00FB36FA" w:rsidRPr="00C3428A">
        <w:rPr>
          <w:rFonts w:ascii="Book Antiqua" w:hAnsi="Book Antiqua"/>
          <w:sz w:val="23"/>
          <w:szCs w:val="23"/>
        </w:rPr>
        <w:t>, “</w:t>
      </w:r>
      <w:r w:rsidR="00FB36FA" w:rsidRPr="00C3428A">
        <w:rPr>
          <w:rFonts w:ascii="Book Antiqua" w:hAnsi="Book Antiqua"/>
          <w:i/>
          <w:iCs/>
          <w:sz w:val="23"/>
          <w:szCs w:val="23"/>
        </w:rPr>
        <w:t>We will be back</w:t>
      </w:r>
      <w:r w:rsidR="00FB36FA" w:rsidRPr="00C3428A">
        <w:rPr>
          <w:rFonts w:ascii="Book Antiqua" w:hAnsi="Book Antiqua"/>
          <w:sz w:val="23"/>
          <w:szCs w:val="23"/>
        </w:rPr>
        <w:t>”, under the tag line “</w:t>
      </w:r>
      <w:r w:rsidR="00FB36FA" w:rsidRPr="00C3428A">
        <w:rPr>
          <w:rFonts w:ascii="Book Antiqua" w:hAnsi="Book Antiqua"/>
          <w:i/>
          <w:iCs/>
          <w:sz w:val="23"/>
          <w:szCs w:val="23"/>
        </w:rPr>
        <w:t>We Will Not Stop. We Will Not Rest</w:t>
      </w:r>
      <w:r w:rsidR="00FB36FA" w:rsidRPr="00C3428A">
        <w:rPr>
          <w:rFonts w:ascii="Book Antiqua" w:hAnsi="Book Antiqua"/>
          <w:sz w:val="23"/>
          <w:szCs w:val="23"/>
        </w:rPr>
        <w:t>”</w:t>
      </w:r>
      <w:r w:rsidR="00034680">
        <w:rPr>
          <w:rFonts w:ascii="Book Antiqua" w:hAnsi="Book Antiqua"/>
          <w:sz w:val="23"/>
          <w:szCs w:val="23"/>
        </w:rPr>
        <w:t xml:space="preserve"> </w:t>
      </w:r>
      <w:r w:rsidR="00034680">
        <w:rPr>
          <w:rFonts w:ascii="Book Antiqua" w:hAnsi="Book Antiqua"/>
          <w:b/>
          <w:bCs/>
          <w:sz w:val="23"/>
          <w:szCs w:val="23"/>
        </w:rPr>
        <w:t>[</w:t>
      </w:r>
      <w:r w:rsidR="00211D7C">
        <w:rPr>
          <w:rFonts w:ascii="Book Antiqua" w:hAnsi="Book Antiqua"/>
          <w:b/>
          <w:bCs/>
          <w:sz w:val="23"/>
          <w:szCs w:val="23"/>
        </w:rPr>
        <w:t>HB</w:t>
      </w:r>
      <w:r w:rsidR="001A1192">
        <w:rPr>
          <w:rFonts w:ascii="Book Antiqua" w:hAnsi="Book Antiqua"/>
          <w:b/>
          <w:bCs/>
          <w:sz w:val="23"/>
          <w:szCs w:val="23"/>
        </w:rPr>
        <w:t>/</w:t>
      </w:r>
      <w:r w:rsidR="00802C14">
        <w:rPr>
          <w:rFonts w:ascii="Book Antiqua" w:hAnsi="Book Antiqua"/>
          <w:b/>
          <w:bCs/>
          <w:sz w:val="23"/>
          <w:szCs w:val="23"/>
        </w:rPr>
        <w:t>7/</w:t>
      </w:r>
      <w:r w:rsidR="001A1192">
        <w:rPr>
          <w:rFonts w:ascii="Book Antiqua" w:hAnsi="Book Antiqua"/>
          <w:b/>
          <w:bCs/>
          <w:sz w:val="23"/>
          <w:szCs w:val="23"/>
        </w:rPr>
        <w:t>153</w:t>
      </w:r>
      <w:r w:rsidR="00F5771C">
        <w:rPr>
          <w:rFonts w:ascii="Book Antiqua" w:hAnsi="Book Antiqua"/>
          <w:b/>
          <w:bCs/>
          <w:sz w:val="23"/>
          <w:szCs w:val="23"/>
        </w:rPr>
        <w:t>(</w:t>
      </w:r>
      <w:r w:rsidR="00802C14">
        <w:rPr>
          <w:rFonts w:ascii="Book Antiqua" w:hAnsi="Book Antiqua"/>
          <w:b/>
          <w:bCs/>
          <w:sz w:val="23"/>
          <w:szCs w:val="23"/>
        </w:rPr>
        <w:t>PDF155</w:t>
      </w:r>
      <w:r w:rsidR="00F5771C">
        <w:rPr>
          <w:rFonts w:ascii="Book Antiqua" w:hAnsi="Book Antiqua"/>
          <w:b/>
          <w:bCs/>
          <w:sz w:val="23"/>
          <w:szCs w:val="23"/>
        </w:rPr>
        <w:t>)</w:t>
      </w:r>
      <w:r w:rsidR="00802C14">
        <w:rPr>
          <w:rFonts w:ascii="Book Antiqua" w:hAnsi="Book Antiqua"/>
          <w:b/>
          <w:bCs/>
          <w:sz w:val="23"/>
          <w:szCs w:val="23"/>
        </w:rPr>
        <w:t>]</w:t>
      </w:r>
      <w:r w:rsidR="00FB36FA" w:rsidRPr="00C3428A">
        <w:rPr>
          <w:rFonts w:ascii="Book Antiqua" w:hAnsi="Book Antiqua"/>
          <w:sz w:val="23"/>
          <w:szCs w:val="23"/>
        </w:rPr>
        <w:t>.</w:t>
      </w:r>
      <w:r w:rsidR="00B628F0">
        <w:rPr>
          <w:rFonts w:ascii="Book Antiqua" w:hAnsi="Book Antiqua"/>
          <w:sz w:val="23"/>
          <w:szCs w:val="23"/>
        </w:rPr>
        <w:t xml:space="preserve"> </w:t>
      </w:r>
      <w:r w:rsidR="00954E0D">
        <w:rPr>
          <w:rFonts w:ascii="Book Antiqua" w:hAnsi="Book Antiqua"/>
          <w:sz w:val="23"/>
          <w:szCs w:val="23"/>
        </w:rPr>
        <w:t>T</w:t>
      </w:r>
      <w:r w:rsidR="00B628F0">
        <w:rPr>
          <w:rFonts w:ascii="Book Antiqua" w:hAnsi="Book Antiqua"/>
          <w:sz w:val="23"/>
          <w:szCs w:val="23"/>
        </w:rPr>
        <w:t xml:space="preserve">hey </w:t>
      </w:r>
      <w:r w:rsidR="00954E0D">
        <w:rPr>
          <w:rFonts w:ascii="Book Antiqua" w:hAnsi="Book Antiqua"/>
          <w:sz w:val="23"/>
          <w:szCs w:val="23"/>
        </w:rPr>
        <w:t xml:space="preserve">further </w:t>
      </w:r>
      <w:r w:rsidR="00B628F0">
        <w:rPr>
          <w:rFonts w:ascii="Book Antiqua" w:hAnsi="Book Antiqua"/>
          <w:sz w:val="23"/>
          <w:szCs w:val="23"/>
        </w:rPr>
        <w:t>stated:</w:t>
      </w:r>
    </w:p>
    <w:p w14:paraId="200829A2" w14:textId="158DD347" w:rsidR="00B628F0" w:rsidRPr="00954E0D" w:rsidRDefault="00B628F0" w:rsidP="00954E0D">
      <w:pPr>
        <w:pStyle w:val="ListParagraph"/>
        <w:spacing w:line="240" w:lineRule="auto"/>
        <w:ind w:left="1134"/>
        <w:contextualSpacing w:val="0"/>
        <w:jc w:val="both"/>
        <w:rPr>
          <w:rFonts w:ascii="Book Antiqua" w:hAnsi="Book Antiqua"/>
          <w:b/>
          <w:bCs/>
          <w:sz w:val="23"/>
          <w:szCs w:val="23"/>
        </w:rPr>
      </w:pPr>
      <w:r>
        <w:rPr>
          <w:rFonts w:ascii="Book Antiqua" w:hAnsi="Book Antiqua"/>
          <w:sz w:val="23"/>
          <w:szCs w:val="23"/>
        </w:rPr>
        <w:t>“This end is a temporary one…</w:t>
      </w:r>
      <w:r w:rsidR="00954E0D">
        <w:rPr>
          <w:rFonts w:ascii="Book Antiqua" w:hAnsi="Book Antiqua"/>
          <w:sz w:val="23"/>
          <w:szCs w:val="23"/>
        </w:rPr>
        <w:t xml:space="preserve">Our encampment from last spring was only a beginning, and this one is not nearly an end. We will ensure that the University does not see normalcy until we see divestment and liberation.” </w:t>
      </w:r>
      <w:r w:rsidR="00954E0D">
        <w:rPr>
          <w:rFonts w:ascii="Book Antiqua" w:hAnsi="Book Antiqua"/>
          <w:b/>
          <w:bCs/>
          <w:sz w:val="23"/>
          <w:szCs w:val="23"/>
        </w:rPr>
        <w:t>[</w:t>
      </w:r>
      <w:r w:rsidR="00211D7C">
        <w:rPr>
          <w:rFonts w:ascii="Book Antiqua" w:hAnsi="Book Antiqua"/>
          <w:b/>
          <w:bCs/>
          <w:sz w:val="23"/>
          <w:szCs w:val="23"/>
        </w:rPr>
        <w:t>HB</w:t>
      </w:r>
      <w:r w:rsidR="00802C14">
        <w:rPr>
          <w:rFonts w:ascii="Book Antiqua" w:hAnsi="Book Antiqua"/>
          <w:b/>
          <w:bCs/>
          <w:sz w:val="23"/>
          <w:szCs w:val="23"/>
        </w:rPr>
        <w:t>/7</w:t>
      </w:r>
      <w:r w:rsidR="00EE5BC8">
        <w:rPr>
          <w:rFonts w:ascii="Book Antiqua" w:hAnsi="Book Antiqua"/>
          <w:b/>
          <w:bCs/>
          <w:sz w:val="23"/>
          <w:szCs w:val="23"/>
        </w:rPr>
        <w:t>/581</w:t>
      </w:r>
      <w:r w:rsidR="00F5771C">
        <w:rPr>
          <w:rFonts w:ascii="Book Antiqua" w:hAnsi="Book Antiqua"/>
          <w:b/>
          <w:bCs/>
          <w:sz w:val="23"/>
          <w:szCs w:val="23"/>
        </w:rPr>
        <w:t>(</w:t>
      </w:r>
      <w:r w:rsidR="00802C14">
        <w:rPr>
          <w:rFonts w:ascii="Book Antiqua" w:hAnsi="Book Antiqua"/>
          <w:b/>
          <w:bCs/>
          <w:sz w:val="23"/>
          <w:szCs w:val="23"/>
        </w:rPr>
        <w:t>PDF583</w:t>
      </w:r>
      <w:r w:rsidR="00F5771C">
        <w:rPr>
          <w:rFonts w:ascii="Book Antiqua" w:hAnsi="Book Antiqua"/>
          <w:b/>
          <w:bCs/>
          <w:sz w:val="23"/>
          <w:szCs w:val="23"/>
        </w:rPr>
        <w:t>)</w:t>
      </w:r>
      <w:r w:rsidR="00802C14">
        <w:rPr>
          <w:rFonts w:ascii="Book Antiqua" w:hAnsi="Book Antiqua"/>
          <w:b/>
          <w:bCs/>
          <w:sz w:val="23"/>
          <w:szCs w:val="23"/>
        </w:rPr>
        <w:t>]</w:t>
      </w:r>
    </w:p>
    <w:p w14:paraId="5619E080" w14:textId="78FEFED4" w:rsidR="00E02753" w:rsidRPr="00E02753" w:rsidRDefault="00070261" w:rsidP="00624586">
      <w:pPr>
        <w:pStyle w:val="ListParagraph"/>
        <w:numPr>
          <w:ilvl w:val="0"/>
          <w:numId w:val="3"/>
        </w:numPr>
        <w:spacing w:line="360" w:lineRule="auto"/>
        <w:ind w:left="567" w:hanging="567"/>
        <w:contextualSpacing w:val="0"/>
        <w:jc w:val="both"/>
        <w:rPr>
          <w:rFonts w:ascii="Book Antiqua" w:hAnsi="Book Antiqua"/>
          <w:sz w:val="23"/>
          <w:szCs w:val="23"/>
        </w:rPr>
      </w:pPr>
      <w:r>
        <w:rPr>
          <w:rFonts w:ascii="Book Antiqua" w:hAnsi="Book Antiqua"/>
          <w:sz w:val="23"/>
          <w:szCs w:val="23"/>
        </w:rPr>
        <w:t xml:space="preserve">On 5 December 2024, </w:t>
      </w:r>
      <w:r w:rsidR="00205367">
        <w:rPr>
          <w:rFonts w:ascii="Book Antiqua" w:hAnsi="Book Antiqua"/>
          <w:sz w:val="23"/>
          <w:szCs w:val="23"/>
        </w:rPr>
        <w:t>Cambridge for Palestine posted a response to the University’s statement</w:t>
      </w:r>
      <w:r w:rsidR="006942FF">
        <w:rPr>
          <w:rFonts w:ascii="Book Antiqua" w:hAnsi="Book Antiqua"/>
          <w:sz w:val="23"/>
          <w:szCs w:val="23"/>
        </w:rPr>
        <w:t>, dated 3 December 2024, relating to the direct action at Senate House. Cambridge for Palestine stated</w:t>
      </w:r>
      <w:r w:rsidR="005F737E">
        <w:rPr>
          <w:rFonts w:ascii="Book Antiqua" w:hAnsi="Book Antiqua"/>
          <w:sz w:val="23"/>
          <w:szCs w:val="23"/>
        </w:rPr>
        <w:t>, “</w:t>
      </w:r>
      <w:r w:rsidR="005F737E">
        <w:rPr>
          <w:rFonts w:ascii="Book Antiqua" w:hAnsi="Book Antiqua"/>
          <w:i/>
          <w:iCs/>
          <w:sz w:val="23"/>
          <w:szCs w:val="23"/>
        </w:rPr>
        <w:t>As students at this institution, we refuse to sit idly by as our University proudly kills. ‘Disruption’ of normalcy is the only ethical, moral choice”</w:t>
      </w:r>
      <w:r w:rsidR="00E02753">
        <w:rPr>
          <w:rFonts w:ascii="Book Antiqua" w:hAnsi="Book Antiqua"/>
          <w:sz w:val="23"/>
          <w:szCs w:val="23"/>
        </w:rPr>
        <w:t xml:space="preserve"> </w:t>
      </w:r>
      <w:r w:rsidR="005F737E">
        <w:rPr>
          <w:rFonts w:ascii="Book Antiqua" w:hAnsi="Book Antiqua"/>
          <w:sz w:val="23"/>
          <w:szCs w:val="23"/>
        </w:rPr>
        <w:t>[</w:t>
      </w:r>
      <w:r w:rsidR="00211D7C">
        <w:rPr>
          <w:rFonts w:ascii="Book Antiqua" w:hAnsi="Book Antiqua"/>
          <w:b/>
          <w:bCs/>
          <w:sz w:val="23"/>
          <w:szCs w:val="23"/>
        </w:rPr>
        <w:t>HB</w:t>
      </w:r>
      <w:r w:rsidR="006B77D7">
        <w:rPr>
          <w:rFonts w:ascii="Book Antiqua" w:hAnsi="Book Antiqua"/>
          <w:b/>
          <w:bCs/>
          <w:sz w:val="23"/>
          <w:szCs w:val="23"/>
        </w:rPr>
        <w:t>/</w:t>
      </w:r>
      <w:r w:rsidR="00802C14">
        <w:rPr>
          <w:rFonts w:ascii="Book Antiqua" w:hAnsi="Book Antiqua"/>
          <w:b/>
          <w:bCs/>
          <w:sz w:val="23"/>
          <w:szCs w:val="23"/>
        </w:rPr>
        <w:t>7/</w:t>
      </w:r>
      <w:r w:rsidR="006B77D7">
        <w:rPr>
          <w:rFonts w:ascii="Book Antiqua" w:hAnsi="Book Antiqua"/>
          <w:b/>
          <w:bCs/>
          <w:sz w:val="23"/>
          <w:szCs w:val="23"/>
        </w:rPr>
        <w:t>440</w:t>
      </w:r>
      <w:r w:rsidR="00F5771C">
        <w:rPr>
          <w:rFonts w:ascii="Book Antiqua" w:hAnsi="Book Antiqua"/>
          <w:b/>
          <w:bCs/>
          <w:sz w:val="23"/>
          <w:szCs w:val="23"/>
        </w:rPr>
        <w:t>(</w:t>
      </w:r>
      <w:r w:rsidR="00802C14">
        <w:rPr>
          <w:rFonts w:ascii="Book Antiqua" w:hAnsi="Book Antiqua"/>
          <w:b/>
          <w:bCs/>
          <w:sz w:val="23"/>
          <w:szCs w:val="23"/>
        </w:rPr>
        <w:t>PDF442</w:t>
      </w:r>
      <w:r w:rsidR="00F5771C">
        <w:rPr>
          <w:rFonts w:ascii="Book Antiqua" w:hAnsi="Book Antiqua"/>
          <w:b/>
          <w:bCs/>
          <w:sz w:val="23"/>
          <w:szCs w:val="23"/>
        </w:rPr>
        <w:t>)</w:t>
      </w:r>
      <w:r w:rsidR="00802C14">
        <w:rPr>
          <w:rFonts w:ascii="Book Antiqua" w:hAnsi="Book Antiqua"/>
          <w:b/>
          <w:bCs/>
          <w:sz w:val="23"/>
          <w:szCs w:val="23"/>
        </w:rPr>
        <w:t>]</w:t>
      </w:r>
      <w:r w:rsidR="005F737E">
        <w:rPr>
          <w:rFonts w:ascii="Book Antiqua" w:hAnsi="Book Antiqua"/>
          <w:sz w:val="23"/>
          <w:szCs w:val="23"/>
        </w:rPr>
        <w:t>.</w:t>
      </w:r>
    </w:p>
    <w:p w14:paraId="6AE9E589" w14:textId="620A83D5" w:rsidR="00E02753" w:rsidRPr="00C3428A" w:rsidRDefault="00511D5F" w:rsidP="00624586">
      <w:pPr>
        <w:pStyle w:val="ListParagraph"/>
        <w:numPr>
          <w:ilvl w:val="0"/>
          <w:numId w:val="3"/>
        </w:numPr>
        <w:spacing w:line="360" w:lineRule="auto"/>
        <w:ind w:left="567" w:hanging="567"/>
        <w:contextualSpacing w:val="0"/>
        <w:jc w:val="both"/>
        <w:rPr>
          <w:rFonts w:ascii="Book Antiqua" w:hAnsi="Book Antiqua"/>
          <w:sz w:val="23"/>
          <w:szCs w:val="23"/>
        </w:rPr>
      </w:pPr>
      <w:r>
        <w:rPr>
          <w:rFonts w:ascii="Book Antiqua" w:hAnsi="Book Antiqua"/>
          <w:sz w:val="23"/>
          <w:szCs w:val="23"/>
        </w:rPr>
        <w:t xml:space="preserve">On 8 December 2024, after </w:t>
      </w:r>
      <w:r w:rsidR="00823EF0">
        <w:rPr>
          <w:rFonts w:ascii="Book Antiqua" w:hAnsi="Book Antiqua"/>
          <w:sz w:val="23"/>
          <w:szCs w:val="23"/>
        </w:rPr>
        <w:t>ending their occupation of Greenwich House, Cambridge for Palestine stated that, “</w:t>
      </w:r>
      <w:r w:rsidR="00823EF0">
        <w:rPr>
          <w:rFonts w:ascii="Book Antiqua" w:hAnsi="Book Antiqua"/>
          <w:i/>
          <w:iCs/>
          <w:sz w:val="23"/>
          <w:szCs w:val="23"/>
        </w:rPr>
        <w:t>our movement will remain steadfast until justice is achieved”</w:t>
      </w:r>
      <w:r w:rsidR="00823EF0">
        <w:rPr>
          <w:rFonts w:ascii="Book Antiqua" w:hAnsi="Book Antiqua"/>
          <w:sz w:val="23"/>
          <w:szCs w:val="23"/>
        </w:rPr>
        <w:t xml:space="preserve"> </w:t>
      </w:r>
      <w:r w:rsidR="00823EF0">
        <w:rPr>
          <w:rFonts w:ascii="Book Antiqua" w:hAnsi="Book Antiqua"/>
          <w:b/>
          <w:bCs/>
          <w:sz w:val="23"/>
          <w:szCs w:val="23"/>
        </w:rPr>
        <w:t>[</w:t>
      </w:r>
      <w:r w:rsidR="00211D7C">
        <w:rPr>
          <w:rFonts w:ascii="Book Antiqua" w:hAnsi="Book Antiqua"/>
          <w:b/>
          <w:bCs/>
          <w:sz w:val="23"/>
          <w:szCs w:val="23"/>
        </w:rPr>
        <w:t>HB</w:t>
      </w:r>
      <w:r w:rsidR="00637467">
        <w:rPr>
          <w:rFonts w:ascii="Book Antiqua" w:hAnsi="Book Antiqua"/>
          <w:b/>
          <w:bCs/>
          <w:sz w:val="23"/>
          <w:szCs w:val="23"/>
        </w:rPr>
        <w:t>/</w:t>
      </w:r>
      <w:r w:rsidR="00802C14">
        <w:rPr>
          <w:rFonts w:ascii="Book Antiqua" w:hAnsi="Book Antiqua"/>
          <w:b/>
          <w:bCs/>
          <w:sz w:val="23"/>
          <w:szCs w:val="23"/>
        </w:rPr>
        <w:t>7/</w:t>
      </w:r>
      <w:r w:rsidR="00637467">
        <w:rPr>
          <w:rFonts w:ascii="Book Antiqua" w:hAnsi="Book Antiqua"/>
          <w:b/>
          <w:bCs/>
          <w:sz w:val="23"/>
          <w:szCs w:val="23"/>
        </w:rPr>
        <w:t>447</w:t>
      </w:r>
      <w:r w:rsidR="00F5771C">
        <w:rPr>
          <w:rFonts w:ascii="Book Antiqua" w:hAnsi="Book Antiqua"/>
          <w:b/>
          <w:bCs/>
          <w:sz w:val="23"/>
          <w:szCs w:val="23"/>
        </w:rPr>
        <w:t>(</w:t>
      </w:r>
      <w:r w:rsidR="00802C14">
        <w:rPr>
          <w:rFonts w:ascii="Book Antiqua" w:hAnsi="Book Antiqua"/>
          <w:b/>
          <w:bCs/>
          <w:sz w:val="23"/>
          <w:szCs w:val="23"/>
        </w:rPr>
        <w:t>PDF449</w:t>
      </w:r>
      <w:r w:rsidR="00F5771C">
        <w:rPr>
          <w:rFonts w:ascii="Book Antiqua" w:hAnsi="Book Antiqua"/>
          <w:b/>
          <w:bCs/>
          <w:sz w:val="23"/>
          <w:szCs w:val="23"/>
        </w:rPr>
        <w:t>)</w:t>
      </w:r>
      <w:r w:rsidR="00802C14">
        <w:rPr>
          <w:rFonts w:ascii="Book Antiqua" w:hAnsi="Book Antiqua"/>
          <w:b/>
          <w:bCs/>
          <w:sz w:val="23"/>
          <w:szCs w:val="23"/>
        </w:rPr>
        <w:t>]</w:t>
      </w:r>
      <w:r w:rsidR="00823EF0">
        <w:rPr>
          <w:rFonts w:ascii="Book Antiqua" w:hAnsi="Book Antiqua"/>
          <w:sz w:val="23"/>
          <w:szCs w:val="23"/>
        </w:rPr>
        <w:t>.</w:t>
      </w:r>
    </w:p>
    <w:p w14:paraId="5F0CAD57" w14:textId="559DBE2E" w:rsidR="00C21851" w:rsidRPr="00624586" w:rsidRDefault="00C21851" w:rsidP="00624586">
      <w:pPr>
        <w:pStyle w:val="ListParagraph"/>
        <w:numPr>
          <w:ilvl w:val="0"/>
          <w:numId w:val="3"/>
        </w:numPr>
        <w:spacing w:line="360" w:lineRule="auto"/>
        <w:ind w:left="567" w:hanging="567"/>
        <w:jc w:val="both"/>
        <w:rPr>
          <w:rFonts w:ascii="Book Antiqua" w:hAnsi="Book Antiqua"/>
          <w:sz w:val="23"/>
          <w:szCs w:val="23"/>
        </w:rPr>
      </w:pPr>
      <w:r w:rsidRPr="00624586">
        <w:rPr>
          <w:rFonts w:ascii="Book Antiqua" w:hAnsi="Book Antiqua"/>
          <w:sz w:val="23"/>
          <w:szCs w:val="23"/>
        </w:rPr>
        <w:t xml:space="preserve">Moreover, in light of the ceasefire that was agreed between Israel and Hamas on </w:t>
      </w:r>
      <w:r w:rsidR="002A1923" w:rsidRPr="00624586">
        <w:rPr>
          <w:rFonts w:ascii="Book Antiqua" w:hAnsi="Book Antiqua"/>
          <w:sz w:val="23"/>
          <w:szCs w:val="23"/>
        </w:rPr>
        <w:t>15 January 2025, Cambridge for Palestine has made various statements</w:t>
      </w:r>
      <w:r w:rsidR="00957592" w:rsidRPr="00624586">
        <w:rPr>
          <w:rFonts w:ascii="Book Antiqua" w:hAnsi="Book Antiqua"/>
          <w:sz w:val="23"/>
          <w:szCs w:val="23"/>
        </w:rPr>
        <w:t>, including the following</w:t>
      </w:r>
      <w:r w:rsidR="002A1923" w:rsidRPr="00624586">
        <w:rPr>
          <w:rFonts w:ascii="Book Antiqua" w:hAnsi="Book Antiqua"/>
          <w:sz w:val="23"/>
          <w:szCs w:val="23"/>
        </w:rPr>
        <w:t>:</w:t>
      </w:r>
    </w:p>
    <w:p w14:paraId="0B21468F" w14:textId="3B7B65A9" w:rsidR="002A1923" w:rsidRPr="00C3428A" w:rsidRDefault="002A1923" w:rsidP="002A1923">
      <w:pPr>
        <w:pStyle w:val="ListParagraph"/>
        <w:spacing w:line="240" w:lineRule="auto"/>
        <w:ind w:left="1134"/>
        <w:jc w:val="both"/>
        <w:rPr>
          <w:rFonts w:ascii="Book Antiqua" w:hAnsi="Book Antiqua"/>
          <w:sz w:val="23"/>
          <w:szCs w:val="23"/>
        </w:rPr>
      </w:pPr>
      <w:r w:rsidRPr="00C3428A">
        <w:rPr>
          <w:rFonts w:ascii="Book Antiqua" w:hAnsi="Book Antiqua"/>
          <w:sz w:val="23"/>
          <w:szCs w:val="23"/>
        </w:rPr>
        <w:t>“CEASEFIRE TODAY… LIBERATION TOMORROW…</w:t>
      </w:r>
    </w:p>
    <w:p w14:paraId="451656E4" w14:textId="1BF2E679" w:rsidR="002A1923" w:rsidRPr="00620E6F" w:rsidRDefault="002A1923" w:rsidP="007E7DED">
      <w:pPr>
        <w:pStyle w:val="ListParagraph"/>
        <w:spacing w:line="240" w:lineRule="auto"/>
        <w:ind w:left="1134"/>
        <w:contextualSpacing w:val="0"/>
        <w:jc w:val="both"/>
        <w:rPr>
          <w:rFonts w:ascii="Book Antiqua" w:hAnsi="Book Antiqua"/>
          <w:b/>
          <w:bCs/>
          <w:sz w:val="23"/>
          <w:szCs w:val="23"/>
        </w:rPr>
      </w:pPr>
      <w:r w:rsidRPr="00C3428A">
        <w:rPr>
          <w:rFonts w:ascii="Book Antiqua" w:hAnsi="Book Antiqua"/>
          <w:sz w:val="23"/>
          <w:szCs w:val="23"/>
        </w:rPr>
        <w:t>We commit to continuing the struggle from the belly of the beast, in unequivocal solidarity with the pursuit of a free Palestine, from the river to the sea.”</w:t>
      </w:r>
      <w:r w:rsidR="007E7DED" w:rsidRPr="00C3428A">
        <w:rPr>
          <w:rFonts w:ascii="Book Antiqua" w:hAnsi="Book Antiqua"/>
          <w:sz w:val="23"/>
          <w:szCs w:val="23"/>
        </w:rPr>
        <w:t xml:space="preserve"> [on 18 January 2025]</w:t>
      </w:r>
      <w:r w:rsidR="00620E6F">
        <w:rPr>
          <w:rFonts w:ascii="Book Antiqua" w:hAnsi="Book Antiqua"/>
          <w:sz w:val="23"/>
          <w:szCs w:val="23"/>
        </w:rPr>
        <w:t xml:space="preserve"> </w:t>
      </w:r>
      <w:r w:rsidR="00620E6F">
        <w:rPr>
          <w:rFonts w:ascii="Book Antiqua" w:hAnsi="Book Antiqua"/>
          <w:b/>
          <w:bCs/>
          <w:sz w:val="23"/>
          <w:szCs w:val="23"/>
        </w:rPr>
        <w:t>[</w:t>
      </w:r>
      <w:r w:rsidR="00211D7C">
        <w:rPr>
          <w:rFonts w:ascii="Book Antiqua" w:hAnsi="Book Antiqua"/>
          <w:b/>
          <w:bCs/>
          <w:sz w:val="23"/>
          <w:szCs w:val="23"/>
        </w:rPr>
        <w:t>HB</w:t>
      </w:r>
      <w:r w:rsidR="00620E6F">
        <w:rPr>
          <w:rFonts w:ascii="Book Antiqua" w:hAnsi="Book Antiqua"/>
          <w:b/>
          <w:bCs/>
          <w:sz w:val="23"/>
          <w:szCs w:val="23"/>
        </w:rPr>
        <w:t>/</w:t>
      </w:r>
      <w:r w:rsidR="002A58B7">
        <w:rPr>
          <w:rFonts w:ascii="Book Antiqua" w:hAnsi="Book Antiqua"/>
          <w:b/>
          <w:bCs/>
          <w:sz w:val="23"/>
          <w:szCs w:val="23"/>
        </w:rPr>
        <w:t>7/</w:t>
      </w:r>
      <w:r w:rsidR="00620E6F">
        <w:rPr>
          <w:rFonts w:ascii="Book Antiqua" w:hAnsi="Book Antiqua"/>
          <w:b/>
          <w:bCs/>
          <w:sz w:val="23"/>
          <w:szCs w:val="23"/>
        </w:rPr>
        <w:t>455</w:t>
      </w:r>
      <w:r w:rsidR="00F5771C">
        <w:rPr>
          <w:rFonts w:ascii="Book Antiqua" w:hAnsi="Book Antiqua"/>
          <w:b/>
          <w:bCs/>
          <w:sz w:val="23"/>
          <w:szCs w:val="23"/>
        </w:rPr>
        <w:t>(</w:t>
      </w:r>
      <w:r w:rsidR="002A58B7">
        <w:rPr>
          <w:rFonts w:ascii="Book Antiqua" w:hAnsi="Book Antiqua"/>
          <w:b/>
          <w:bCs/>
          <w:sz w:val="23"/>
          <w:szCs w:val="23"/>
        </w:rPr>
        <w:t>PDF457</w:t>
      </w:r>
      <w:r w:rsidR="00F5771C">
        <w:rPr>
          <w:rFonts w:ascii="Book Antiqua" w:hAnsi="Book Antiqua"/>
          <w:b/>
          <w:bCs/>
          <w:sz w:val="23"/>
          <w:szCs w:val="23"/>
        </w:rPr>
        <w:t>)</w:t>
      </w:r>
      <w:r w:rsidR="002A58B7">
        <w:rPr>
          <w:rFonts w:ascii="Book Antiqua" w:hAnsi="Book Antiqua"/>
          <w:b/>
          <w:bCs/>
          <w:sz w:val="23"/>
          <w:szCs w:val="23"/>
        </w:rPr>
        <w:t>]</w:t>
      </w:r>
    </w:p>
    <w:p w14:paraId="6BD413B3" w14:textId="77777777" w:rsidR="007E7DED" w:rsidRPr="00C3428A" w:rsidRDefault="007E7DED" w:rsidP="007E7DED">
      <w:pPr>
        <w:pStyle w:val="ListParagraph"/>
        <w:spacing w:line="240" w:lineRule="auto"/>
        <w:ind w:left="1134"/>
        <w:contextualSpacing w:val="0"/>
        <w:jc w:val="both"/>
        <w:rPr>
          <w:rFonts w:ascii="Book Antiqua" w:hAnsi="Book Antiqua"/>
          <w:sz w:val="23"/>
          <w:szCs w:val="23"/>
        </w:rPr>
      </w:pPr>
    </w:p>
    <w:p w14:paraId="4655CA0D" w14:textId="691183E2" w:rsidR="007E7DED" w:rsidRPr="00166E90" w:rsidRDefault="007E7DED" w:rsidP="007E7DED">
      <w:pPr>
        <w:pStyle w:val="ListParagraph"/>
        <w:spacing w:line="240" w:lineRule="auto"/>
        <w:ind w:left="1134"/>
        <w:contextualSpacing w:val="0"/>
        <w:jc w:val="both"/>
        <w:rPr>
          <w:rFonts w:ascii="Book Antiqua" w:hAnsi="Book Antiqua"/>
          <w:sz w:val="23"/>
          <w:szCs w:val="23"/>
        </w:rPr>
      </w:pPr>
      <w:r w:rsidRPr="00C3428A">
        <w:rPr>
          <w:rFonts w:ascii="Book Antiqua" w:hAnsi="Book Antiqua"/>
          <w:sz w:val="23"/>
          <w:szCs w:val="23"/>
        </w:rPr>
        <w:t>“As we honor the relief and joy of the steadfast people of Gaza, we recommit ourselves to the struggle against the complicity of our institutions, in pursuit of a free Palestine.” [on 21 January 2025]</w:t>
      </w:r>
      <w:r w:rsidR="00166E90">
        <w:rPr>
          <w:rFonts w:ascii="Book Antiqua" w:hAnsi="Book Antiqua"/>
          <w:sz w:val="23"/>
          <w:szCs w:val="23"/>
        </w:rPr>
        <w:t xml:space="preserve"> </w:t>
      </w:r>
      <w:r w:rsidR="00166E90">
        <w:rPr>
          <w:rFonts w:ascii="Book Antiqua" w:hAnsi="Book Antiqua"/>
          <w:b/>
          <w:bCs/>
          <w:sz w:val="23"/>
          <w:szCs w:val="23"/>
        </w:rPr>
        <w:t>[</w:t>
      </w:r>
      <w:r w:rsidR="00211D7C">
        <w:rPr>
          <w:rFonts w:ascii="Book Antiqua" w:hAnsi="Book Antiqua"/>
          <w:b/>
          <w:bCs/>
          <w:sz w:val="23"/>
          <w:szCs w:val="23"/>
        </w:rPr>
        <w:t>HB</w:t>
      </w:r>
      <w:r w:rsidR="00166E90">
        <w:rPr>
          <w:rFonts w:ascii="Book Antiqua" w:hAnsi="Book Antiqua"/>
          <w:b/>
          <w:bCs/>
          <w:sz w:val="23"/>
          <w:szCs w:val="23"/>
        </w:rPr>
        <w:t>/</w:t>
      </w:r>
      <w:r w:rsidR="002A58B7">
        <w:rPr>
          <w:rFonts w:ascii="Book Antiqua" w:hAnsi="Book Antiqua"/>
          <w:b/>
          <w:bCs/>
          <w:sz w:val="23"/>
          <w:szCs w:val="23"/>
        </w:rPr>
        <w:t>7/</w:t>
      </w:r>
      <w:r w:rsidR="00166E90">
        <w:rPr>
          <w:rFonts w:ascii="Book Antiqua" w:hAnsi="Book Antiqua"/>
          <w:b/>
          <w:bCs/>
          <w:sz w:val="23"/>
          <w:szCs w:val="23"/>
        </w:rPr>
        <w:t>636</w:t>
      </w:r>
      <w:r w:rsidR="00F5771C">
        <w:rPr>
          <w:rFonts w:ascii="Book Antiqua" w:hAnsi="Book Antiqua"/>
          <w:b/>
          <w:bCs/>
          <w:sz w:val="23"/>
          <w:szCs w:val="23"/>
        </w:rPr>
        <w:t>(</w:t>
      </w:r>
      <w:r w:rsidR="002A58B7">
        <w:rPr>
          <w:rFonts w:ascii="Book Antiqua" w:hAnsi="Book Antiqua"/>
          <w:b/>
          <w:bCs/>
          <w:sz w:val="23"/>
          <w:szCs w:val="23"/>
        </w:rPr>
        <w:t>PDF638</w:t>
      </w:r>
      <w:r w:rsidR="00F5771C">
        <w:rPr>
          <w:rFonts w:ascii="Book Antiqua" w:hAnsi="Book Antiqua"/>
          <w:b/>
          <w:bCs/>
          <w:sz w:val="23"/>
          <w:szCs w:val="23"/>
        </w:rPr>
        <w:t>)</w:t>
      </w:r>
      <w:r w:rsidR="002A58B7">
        <w:rPr>
          <w:rFonts w:ascii="Book Antiqua" w:hAnsi="Book Antiqua"/>
          <w:b/>
          <w:bCs/>
          <w:sz w:val="23"/>
          <w:szCs w:val="23"/>
        </w:rPr>
        <w:t>]</w:t>
      </w:r>
    </w:p>
    <w:p w14:paraId="46305915" w14:textId="77777777" w:rsidR="00834ACE" w:rsidRPr="003571AE" w:rsidRDefault="00834ACE" w:rsidP="00834ACE">
      <w:pPr>
        <w:spacing w:line="360" w:lineRule="auto"/>
        <w:jc w:val="both"/>
        <w:rPr>
          <w:rFonts w:ascii="Book Antiqua" w:hAnsi="Book Antiqua"/>
          <w:sz w:val="6"/>
          <w:szCs w:val="6"/>
        </w:rPr>
      </w:pPr>
    </w:p>
    <w:p w14:paraId="50F92C50" w14:textId="7F0001EA" w:rsidR="0080277F" w:rsidRPr="00C3428A" w:rsidRDefault="0080277F" w:rsidP="00624586">
      <w:pPr>
        <w:pStyle w:val="ListParagraph"/>
        <w:numPr>
          <w:ilvl w:val="0"/>
          <w:numId w:val="3"/>
        </w:numPr>
        <w:spacing w:line="360" w:lineRule="auto"/>
        <w:ind w:left="567" w:hanging="567"/>
        <w:contextualSpacing w:val="0"/>
        <w:jc w:val="both"/>
        <w:rPr>
          <w:rFonts w:ascii="Book Antiqua" w:hAnsi="Book Antiqua"/>
          <w:sz w:val="23"/>
          <w:szCs w:val="23"/>
        </w:rPr>
      </w:pPr>
      <w:r w:rsidRPr="00C3428A">
        <w:rPr>
          <w:rFonts w:ascii="Book Antiqua" w:hAnsi="Book Antiqua"/>
          <w:sz w:val="23"/>
          <w:szCs w:val="23"/>
        </w:rPr>
        <w:t xml:space="preserve">Further, </w:t>
      </w:r>
      <w:r w:rsidR="00895BD6" w:rsidRPr="00C3428A">
        <w:rPr>
          <w:rFonts w:ascii="Book Antiqua" w:hAnsi="Book Antiqua"/>
          <w:sz w:val="23"/>
          <w:szCs w:val="23"/>
        </w:rPr>
        <w:t xml:space="preserve">Cambridge for Palestine endorsed the actions of Oxford Action for Palestine </w:t>
      </w:r>
      <w:r w:rsidR="00D5105C" w:rsidRPr="00C3428A">
        <w:rPr>
          <w:rFonts w:ascii="Book Antiqua" w:hAnsi="Book Antiqua"/>
          <w:sz w:val="23"/>
          <w:szCs w:val="23"/>
        </w:rPr>
        <w:t xml:space="preserve">(a group which appears to have very similar aims to Cambridge for Palestine) </w:t>
      </w:r>
      <w:r w:rsidR="00895BD6" w:rsidRPr="00C3428A">
        <w:rPr>
          <w:rFonts w:ascii="Book Antiqua" w:hAnsi="Book Antiqua"/>
          <w:sz w:val="23"/>
          <w:szCs w:val="23"/>
        </w:rPr>
        <w:t xml:space="preserve">when it occupied the Radcliffe </w:t>
      </w:r>
      <w:r w:rsidR="001B17AA">
        <w:rPr>
          <w:rFonts w:ascii="Book Antiqua" w:hAnsi="Book Antiqua"/>
          <w:sz w:val="23"/>
          <w:szCs w:val="23"/>
        </w:rPr>
        <w:t>Camera (library)</w:t>
      </w:r>
      <w:r w:rsidR="00895BD6" w:rsidRPr="00C3428A">
        <w:rPr>
          <w:rFonts w:ascii="Book Antiqua" w:hAnsi="Book Antiqua"/>
          <w:sz w:val="23"/>
          <w:szCs w:val="23"/>
        </w:rPr>
        <w:t xml:space="preserve"> in Oxford </w:t>
      </w:r>
      <w:r w:rsidR="00D5105C" w:rsidRPr="00C3428A">
        <w:rPr>
          <w:rFonts w:ascii="Book Antiqua" w:hAnsi="Book Antiqua"/>
          <w:sz w:val="23"/>
          <w:szCs w:val="23"/>
        </w:rPr>
        <w:t xml:space="preserve">on 24 January 2025. </w:t>
      </w:r>
    </w:p>
    <w:p w14:paraId="01D3BF35" w14:textId="278921F5" w:rsidR="00C3428A" w:rsidRDefault="00C3428A" w:rsidP="00624586">
      <w:pPr>
        <w:pStyle w:val="ListParagraph"/>
        <w:numPr>
          <w:ilvl w:val="0"/>
          <w:numId w:val="3"/>
        </w:numPr>
        <w:spacing w:line="360" w:lineRule="auto"/>
        <w:ind w:left="567" w:hanging="567"/>
        <w:jc w:val="both"/>
        <w:rPr>
          <w:rFonts w:ascii="Book Antiqua" w:hAnsi="Book Antiqua"/>
          <w:sz w:val="23"/>
          <w:szCs w:val="23"/>
        </w:rPr>
      </w:pPr>
      <w:r w:rsidRPr="00C3428A">
        <w:rPr>
          <w:rFonts w:ascii="Book Antiqua" w:hAnsi="Book Antiqua"/>
          <w:sz w:val="23"/>
          <w:szCs w:val="23"/>
        </w:rPr>
        <w:t xml:space="preserve">At no </w:t>
      </w:r>
      <w:r>
        <w:rPr>
          <w:rFonts w:ascii="Book Antiqua" w:hAnsi="Book Antiqua"/>
          <w:sz w:val="23"/>
          <w:szCs w:val="23"/>
        </w:rPr>
        <w:t xml:space="preserve">stage have the Defendants or Cambridge for Palestine </w:t>
      </w:r>
      <w:r w:rsidR="00E46EBE">
        <w:rPr>
          <w:rFonts w:ascii="Book Antiqua" w:hAnsi="Book Antiqua"/>
          <w:sz w:val="23"/>
          <w:szCs w:val="23"/>
        </w:rPr>
        <w:t xml:space="preserve">disavowed an intention to carry out further direct action. </w:t>
      </w:r>
    </w:p>
    <w:p w14:paraId="66F25996" w14:textId="77777777" w:rsidR="007E7B67" w:rsidRPr="0022384F" w:rsidRDefault="007E7B67" w:rsidP="007E7B67">
      <w:pPr>
        <w:spacing w:line="360" w:lineRule="auto"/>
        <w:jc w:val="both"/>
        <w:rPr>
          <w:rFonts w:ascii="Book Antiqua" w:hAnsi="Book Antiqua"/>
          <w:sz w:val="7"/>
          <w:szCs w:val="7"/>
        </w:rPr>
      </w:pPr>
    </w:p>
    <w:p w14:paraId="26A37DC6" w14:textId="5472A9DC" w:rsidR="007E7B67" w:rsidRPr="007E7B67" w:rsidRDefault="008775CF" w:rsidP="008775CF">
      <w:pPr>
        <w:pStyle w:val="ListParagraph"/>
        <w:numPr>
          <w:ilvl w:val="0"/>
          <w:numId w:val="9"/>
        </w:numPr>
        <w:spacing w:line="360" w:lineRule="auto"/>
        <w:ind w:left="1134" w:hanging="567"/>
        <w:contextualSpacing w:val="0"/>
        <w:jc w:val="both"/>
        <w:rPr>
          <w:rFonts w:ascii="Book Antiqua" w:hAnsi="Book Antiqua"/>
          <w:b/>
          <w:bCs/>
          <w:sz w:val="23"/>
          <w:szCs w:val="23"/>
        </w:rPr>
      </w:pPr>
      <w:r>
        <w:rPr>
          <w:rFonts w:ascii="Book Antiqua" w:hAnsi="Book Antiqua"/>
          <w:b/>
          <w:bCs/>
          <w:sz w:val="23"/>
          <w:szCs w:val="23"/>
        </w:rPr>
        <w:t>Conduct</w:t>
      </w:r>
      <w:r w:rsidR="007E7B67">
        <w:rPr>
          <w:rFonts w:ascii="Book Antiqua" w:hAnsi="Book Antiqua"/>
          <w:b/>
          <w:bCs/>
          <w:sz w:val="23"/>
          <w:szCs w:val="23"/>
        </w:rPr>
        <w:t xml:space="preserve"> since the </w:t>
      </w:r>
      <w:r>
        <w:rPr>
          <w:rFonts w:ascii="Book Antiqua" w:hAnsi="Book Antiqua"/>
          <w:b/>
          <w:bCs/>
          <w:sz w:val="23"/>
          <w:szCs w:val="23"/>
        </w:rPr>
        <w:t>hearing on 27 February 2025</w:t>
      </w:r>
    </w:p>
    <w:p w14:paraId="282B5AAD" w14:textId="7FA7E69E" w:rsidR="007E7B67" w:rsidRDefault="00AC2563" w:rsidP="008775CF">
      <w:pPr>
        <w:pStyle w:val="ListParagraph"/>
        <w:numPr>
          <w:ilvl w:val="0"/>
          <w:numId w:val="3"/>
        </w:numPr>
        <w:spacing w:line="360" w:lineRule="auto"/>
        <w:ind w:left="567" w:hanging="567"/>
        <w:contextualSpacing w:val="0"/>
        <w:jc w:val="both"/>
        <w:rPr>
          <w:rFonts w:ascii="Book Antiqua" w:hAnsi="Book Antiqua"/>
          <w:sz w:val="23"/>
          <w:szCs w:val="23"/>
        </w:rPr>
      </w:pPr>
      <w:r>
        <w:rPr>
          <w:rFonts w:ascii="Book Antiqua" w:hAnsi="Book Antiqua"/>
          <w:sz w:val="23"/>
          <w:szCs w:val="23"/>
        </w:rPr>
        <w:t>No Direct Action took place at Senate House or Senate House Yard on 1 March 2025</w:t>
      </w:r>
      <w:r w:rsidR="0038371C">
        <w:rPr>
          <w:rFonts w:ascii="Book Antiqua" w:hAnsi="Book Antiqua"/>
          <w:sz w:val="23"/>
          <w:szCs w:val="23"/>
        </w:rPr>
        <w:t>, the day of the most recent graduation ceremony</w:t>
      </w:r>
      <w:r>
        <w:rPr>
          <w:rFonts w:ascii="Book Antiqua" w:hAnsi="Book Antiqua"/>
          <w:sz w:val="23"/>
          <w:szCs w:val="23"/>
        </w:rPr>
        <w:t xml:space="preserve">. </w:t>
      </w:r>
      <w:r w:rsidR="00D6280C">
        <w:rPr>
          <w:rFonts w:ascii="Book Antiqua" w:hAnsi="Book Antiqua"/>
          <w:sz w:val="23"/>
          <w:szCs w:val="23"/>
        </w:rPr>
        <w:t xml:space="preserve">Instead, Cambridge for Palestine organised a rally </w:t>
      </w:r>
      <w:r w:rsidR="0038371C">
        <w:rPr>
          <w:rFonts w:ascii="Book Antiqua" w:hAnsi="Book Antiqua"/>
          <w:sz w:val="23"/>
          <w:szCs w:val="23"/>
        </w:rPr>
        <w:t>which took place outside Great St Mary’s Church, directly opposite Senate House: Rampton 3, §5</w:t>
      </w:r>
      <w:r w:rsidR="0022384F">
        <w:rPr>
          <w:rFonts w:ascii="Book Antiqua" w:hAnsi="Book Antiqua"/>
          <w:b/>
          <w:bCs/>
          <w:sz w:val="23"/>
          <w:szCs w:val="23"/>
        </w:rPr>
        <w:t xml:space="preserve"> [</w:t>
      </w:r>
      <w:r w:rsidR="00FD2BED">
        <w:rPr>
          <w:rFonts w:ascii="Book Antiqua" w:hAnsi="Book Antiqua"/>
          <w:b/>
          <w:bCs/>
          <w:sz w:val="23"/>
          <w:szCs w:val="23"/>
        </w:rPr>
        <w:t>SB/7/754</w:t>
      </w:r>
      <w:r w:rsidR="00F5771C">
        <w:rPr>
          <w:rFonts w:ascii="Book Antiqua" w:hAnsi="Book Antiqua"/>
          <w:b/>
          <w:bCs/>
          <w:sz w:val="23"/>
          <w:szCs w:val="23"/>
        </w:rPr>
        <w:t>(</w:t>
      </w:r>
      <w:r w:rsidR="000C0572">
        <w:rPr>
          <w:rFonts w:ascii="Book Antiqua" w:hAnsi="Book Antiqua"/>
          <w:b/>
          <w:bCs/>
          <w:sz w:val="23"/>
          <w:szCs w:val="23"/>
        </w:rPr>
        <w:t>PDF116</w:t>
      </w:r>
      <w:r w:rsidR="00F5771C">
        <w:rPr>
          <w:rFonts w:ascii="Book Antiqua" w:hAnsi="Book Antiqua"/>
          <w:b/>
          <w:bCs/>
          <w:sz w:val="23"/>
          <w:szCs w:val="23"/>
        </w:rPr>
        <w:t>)</w:t>
      </w:r>
      <w:r w:rsidR="000C0572">
        <w:rPr>
          <w:rFonts w:ascii="Book Antiqua" w:hAnsi="Book Antiqua"/>
          <w:b/>
          <w:bCs/>
          <w:sz w:val="23"/>
          <w:szCs w:val="23"/>
        </w:rPr>
        <w:t>]</w:t>
      </w:r>
      <w:r w:rsidR="0038371C">
        <w:rPr>
          <w:rFonts w:ascii="Book Antiqua" w:hAnsi="Book Antiqua"/>
          <w:sz w:val="23"/>
          <w:szCs w:val="23"/>
        </w:rPr>
        <w:t>.</w:t>
      </w:r>
      <w:r w:rsidR="006F73EE">
        <w:rPr>
          <w:rFonts w:ascii="Book Antiqua" w:hAnsi="Book Antiqua"/>
          <w:sz w:val="23"/>
          <w:szCs w:val="23"/>
        </w:rPr>
        <w:t xml:space="preserve"> At its height,</w:t>
      </w:r>
      <w:r w:rsidR="008E0EF9">
        <w:rPr>
          <w:rFonts w:ascii="Book Antiqua" w:hAnsi="Book Antiqua"/>
          <w:sz w:val="23"/>
          <w:szCs w:val="23"/>
        </w:rPr>
        <w:t xml:space="preserve"> </w:t>
      </w:r>
      <w:r w:rsidR="006F73EE">
        <w:rPr>
          <w:rFonts w:ascii="Book Antiqua" w:hAnsi="Book Antiqua"/>
          <w:sz w:val="23"/>
          <w:szCs w:val="23"/>
        </w:rPr>
        <w:t>a</w:t>
      </w:r>
      <w:r w:rsidR="008E0EF9">
        <w:rPr>
          <w:rFonts w:ascii="Book Antiqua" w:hAnsi="Book Antiqua"/>
          <w:sz w:val="23"/>
          <w:szCs w:val="23"/>
        </w:rPr>
        <w:t>pproximately 100 individuals</w:t>
      </w:r>
      <w:r w:rsidR="006F73EE">
        <w:rPr>
          <w:rFonts w:ascii="Book Antiqua" w:hAnsi="Book Antiqua"/>
          <w:sz w:val="23"/>
          <w:szCs w:val="23"/>
        </w:rPr>
        <w:t xml:space="preserve"> were part of the rally: Rampton 3, §9</w:t>
      </w:r>
      <w:r w:rsidR="0022384F">
        <w:rPr>
          <w:rFonts w:ascii="Book Antiqua" w:hAnsi="Book Antiqua"/>
          <w:sz w:val="23"/>
          <w:szCs w:val="23"/>
        </w:rPr>
        <w:t xml:space="preserve"> </w:t>
      </w:r>
      <w:r w:rsidR="0022384F">
        <w:rPr>
          <w:rFonts w:ascii="Book Antiqua" w:hAnsi="Book Antiqua"/>
          <w:b/>
          <w:bCs/>
          <w:sz w:val="23"/>
          <w:szCs w:val="23"/>
        </w:rPr>
        <w:t>[</w:t>
      </w:r>
      <w:r w:rsidR="00FD2BED">
        <w:rPr>
          <w:rFonts w:ascii="Book Antiqua" w:hAnsi="Book Antiqua"/>
          <w:b/>
          <w:bCs/>
          <w:sz w:val="23"/>
          <w:szCs w:val="23"/>
        </w:rPr>
        <w:t>SB/7/755</w:t>
      </w:r>
      <w:r w:rsidR="00F5771C">
        <w:rPr>
          <w:rFonts w:ascii="Book Antiqua" w:hAnsi="Book Antiqua"/>
          <w:b/>
          <w:bCs/>
          <w:sz w:val="23"/>
          <w:szCs w:val="23"/>
        </w:rPr>
        <w:t>(</w:t>
      </w:r>
      <w:r w:rsidR="000C0572">
        <w:rPr>
          <w:rFonts w:ascii="Book Antiqua" w:hAnsi="Book Antiqua"/>
          <w:b/>
          <w:bCs/>
          <w:sz w:val="23"/>
          <w:szCs w:val="23"/>
        </w:rPr>
        <w:t>PDF117</w:t>
      </w:r>
      <w:r w:rsidR="00F5771C">
        <w:rPr>
          <w:rFonts w:ascii="Book Antiqua" w:hAnsi="Book Antiqua"/>
          <w:b/>
          <w:bCs/>
          <w:sz w:val="23"/>
          <w:szCs w:val="23"/>
        </w:rPr>
        <w:t>)</w:t>
      </w:r>
      <w:r w:rsidR="000C0572">
        <w:rPr>
          <w:rFonts w:ascii="Book Antiqua" w:hAnsi="Book Antiqua"/>
          <w:b/>
          <w:bCs/>
          <w:sz w:val="23"/>
          <w:szCs w:val="23"/>
        </w:rPr>
        <w:t>]</w:t>
      </w:r>
      <w:r w:rsidR="006F73EE">
        <w:rPr>
          <w:rFonts w:ascii="Book Antiqua" w:hAnsi="Book Antiqua"/>
          <w:sz w:val="23"/>
          <w:szCs w:val="23"/>
        </w:rPr>
        <w:t>.</w:t>
      </w:r>
      <w:r w:rsidR="008E0EF9">
        <w:rPr>
          <w:rFonts w:ascii="Book Antiqua" w:hAnsi="Book Antiqua"/>
          <w:sz w:val="23"/>
          <w:szCs w:val="23"/>
        </w:rPr>
        <w:t xml:space="preserve"> </w:t>
      </w:r>
    </w:p>
    <w:p w14:paraId="4C30278C" w14:textId="4046EB78" w:rsidR="003C062E" w:rsidRDefault="00C36EA1" w:rsidP="003C062E">
      <w:pPr>
        <w:pStyle w:val="ListParagraph"/>
        <w:numPr>
          <w:ilvl w:val="0"/>
          <w:numId w:val="3"/>
        </w:numPr>
        <w:spacing w:line="360" w:lineRule="auto"/>
        <w:ind w:left="567" w:hanging="567"/>
        <w:contextualSpacing w:val="0"/>
        <w:jc w:val="both"/>
        <w:rPr>
          <w:rFonts w:ascii="Book Antiqua" w:hAnsi="Book Antiqua"/>
          <w:sz w:val="23"/>
          <w:szCs w:val="23"/>
        </w:rPr>
      </w:pPr>
      <w:r>
        <w:rPr>
          <w:rFonts w:ascii="Book Antiqua" w:hAnsi="Book Antiqua"/>
          <w:sz w:val="23"/>
          <w:szCs w:val="23"/>
        </w:rPr>
        <w:t xml:space="preserve">On 2 March 2025, </w:t>
      </w:r>
      <w:r w:rsidR="003C062E">
        <w:rPr>
          <w:rFonts w:ascii="Book Antiqua" w:hAnsi="Book Antiqua"/>
          <w:sz w:val="23"/>
          <w:szCs w:val="23"/>
        </w:rPr>
        <w:t>Cambridge for Palestine uploaded a social media post, which stated</w:t>
      </w:r>
      <w:r w:rsidR="00D673D9">
        <w:rPr>
          <w:rFonts w:ascii="Book Antiqua" w:hAnsi="Book Antiqua"/>
          <w:sz w:val="23"/>
          <w:szCs w:val="23"/>
        </w:rPr>
        <w:t xml:space="preserve"> (Rampton 3, </w:t>
      </w:r>
      <w:r w:rsidR="00805385">
        <w:rPr>
          <w:rFonts w:ascii="Book Antiqua" w:hAnsi="Book Antiqua"/>
          <w:sz w:val="23"/>
          <w:szCs w:val="23"/>
        </w:rPr>
        <w:t>§52)</w:t>
      </w:r>
      <w:r w:rsidR="003C062E">
        <w:rPr>
          <w:rFonts w:ascii="Book Antiqua" w:hAnsi="Book Antiqua"/>
          <w:sz w:val="23"/>
          <w:szCs w:val="23"/>
        </w:rPr>
        <w:t>:</w:t>
      </w:r>
    </w:p>
    <w:p w14:paraId="725B9E84" w14:textId="77777777" w:rsidR="00D673D9" w:rsidRDefault="003C062E" w:rsidP="003C062E">
      <w:pPr>
        <w:pStyle w:val="ListParagraph"/>
        <w:spacing w:line="240" w:lineRule="auto"/>
        <w:ind w:left="1134"/>
        <w:contextualSpacing w:val="0"/>
        <w:jc w:val="both"/>
        <w:rPr>
          <w:rFonts w:ascii="Book Antiqua" w:hAnsi="Book Antiqua"/>
          <w:sz w:val="23"/>
          <w:szCs w:val="23"/>
        </w:rPr>
      </w:pPr>
      <w:r w:rsidRPr="003C062E">
        <w:rPr>
          <w:rFonts w:ascii="Book Antiqua" w:hAnsi="Book Antiqua"/>
          <w:sz w:val="23"/>
          <w:szCs w:val="23"/>
        </w:rPr>
        <w:t>“</w:t>
      </w:r>
      <w:r w:rsidR="00D673D9">
        <w:rPr>
          <w:rFonts w:ascii="Book Antiqua" w:hAnsi="Book Antiqua"/>
          <w:sz w:val="23"/>
          <w:szCs w:val="23"/>
        </w:rPr>
        <w:t xml:space="preserve">Cambridge University tried to silence us. </w:t>
      </w:r>
    </w:p>
    <w:p w14:paraId="1C345AA5" w14:textId="6DA9721D" w:rsidR="003C062E" w:rsidRPr="0022384F" w:rsidRDefault="003C062E" w:rsidP="003C062E">
      <w:pPr>
        <w:pStyle w:val="ListParagraph"/>
        <w:spacing w:line="240" w:lineRule="auto"/>
        <w:ind w:left="1134"/>
        <w:contextualSpacing w:val="0"/>
        <w:jc w:val="both"/>
        <w:rPr>
          <w:rFonts w:ascii="Book Antiqua" w:hAnsi="Book Antiqua"/>
          <w:b/>
          <w:bCs/>
          <w:sz w:val="23"/>
          <w:szCs w:val="23"/>
        </w:rPr>
      </w:pPr>
      <w:r w:rsidRPr="003C062E">
        <w:rPr>
          <w:rFonts w:ascii="Book Antiqua" w:hAnsi="Book Antiqua"/>
          <w:sz w:val="23"/>
          <w:szCs w:val="23"/>
        </w:rPr>
        <w:t>We will NEVER be silent while they profit From Genocide. Our call remains the</w:t>
      </w:r>
      <w:r>
        <w:rPr>
          <w:rFonts w:ascii="Book Antiqua" w:hAnsi="Book Antiqua"/>
          <w:sz w:val="23"/>
          <w:szCs w:val="23"/>
        </w:rPr>
        <w:t xml:space="preserve"> </w:t>
      </w:r>
      <w:r w:rsidRPr="003C062E">
        <w:rPr>
          <w:rFonts w:ascii="Book Antiqua" w:hAnsi="Book Antiqua"/>
          <w:sz w:val="23"/>
          <w:szCs w:val="23"/>
        </w:rPr>
        <w:t>same Disclose, Divest, We Will NOT Stop, We Will NOT REST”</w:t>
      </w:r>
      <w:r w:rsidR="0022384F">
        <w:rPr>
          <w:rFonts w:ascii="Book Antiqua" w:hAnsi="Book Antiqua"/>
          <w:sz w:val="23"/>
          <w:szCs w:val="23"/>
        </w:rPr>
        <w:t xml:space="preserve"> </w:t>
      </w:r>
      <w:r w:rsidR="0022384F">
        <w:rPr>
          <w:rFonts w:ascii="Book Antiqua" w:hAnsi="Book Antiqua"/>
          <w:b/>
          <w:bCs/>
          <w:sz w:val="23"/>
          <w:szCs w:val="23"/>
        </w:rPr>
        <w:t>[</w:t>
      </w:r>
      <w:r w:rsidR="00A6178B">
        <w:rPr>
          <w:rFonts w:ascii="Book Antiqua" w:hAnsi="Book Antiqua"/>
          <w:b/>
          <w:bCs/>
          <w:sz w:val="23"/>
          <w:szCs w:val="23"/>
        </w:rPr>
        <w:t>SB</w:t>
      </w:r>
      <w:r w:rsidR="00FD2BED">
        <w:rPr>
          <w:rFonts w:ascii="Book Antiqua" w:hAnsi="Book Antiqua"/>
          <w:b/>
          <w:bCs/>
          <w:sz w:val="23"/>
          <w:szCs w:val="23"/>
        </w:rPr>
        <w:t>/7/766</w:t>
      </w:r>
      <w:r w:rsidR="000C0572">
        <w:rPr>
          <w:rFonts w:ascii="Book Antiqua" w:hAnsi="Book Antiqua"/>
          <w:b/>
          <w:bCs/>
          <w:sz w:val="23"/>
          <w:szCs w:val="23"/>
        </w:rPr>
        <w:t xml:space="preserve"> and 769</w:t>
      </w:r>
      <w:r w:rsidR="00F5771C">
        <w:rPr>
          <w:rFonts w:ascii="Book Antiqua" w:hAnsi="Book Antiqua"/>
          <w:b/>
          <w:bCs/>
          <w:sz w:val="23"/>
          <w:szCs w:val="23"/>
        </w:rPr>
        <w:t>(</w:t>
      </w:r>
      <w:r w:rsidR="000C0572">
        <w:rPr>
          <w:rFonts w:ascii="Book Antiqua" w:hAnsi="Book Antiqua"/>
          <w:b/>
          <w:bCs/>
          <w:sz w:val="23"/>
          <w:szCs w:val="23"/>
        </w:rPr>
        <w:t>PDF128 and 131</w:t>
      </w:r>
      <w:r w:rsidR="00F5771C">
        <w:rPr>
          <w:rFonts w:ascii="Book Antiqua" w:hAnsi="Book Antiqua"/>
          <w:b/>
          <w:bCs/>
          <w:sz w:val="23"/>
          <w:szCs w:val="23"/>
        </w:rPr>
        <w:t>)</w:t>
      </w:r>
      <w:r w:rsidR="000C0572">
        <w:rPr>
          <w:rFonts w:ascii="Book Antiqua" w:hAnsi="Book Antiqua"/>
          <w:b/>
          <w:bCs/>
          <w:sz w:val="23"/>
          <w:szCs w:val="23"/>
        </w:rPr>
        <w:t>]</w:t>
      </w:r>
    </w:p>
    <w:p w14:paraId="0B196595" w14:textId="77777777" w:rsidR="003C062E" w:rsidRPr="003C062E" w:rsidRDefault="003C062E" w:rsidP="003C062E">
      <w:pPr>
        <w:pStyle w:val="ListParagraph"/>
        <w:spacing w:line="240" w:lineRule="auto"/>
        <w:ind w:left="1134"/>
        <w:contextualSpacing w:val="0"/>
        <w:jc w:val="both"/>
        <w:rPr>
          <w:rFonts w:ascii="Book Antiqua" w:hAnsi="Book Antiqua"/>
          <w:sz w:val="23"/>
          <w:szCs w:val="23"/>
        </w:rPr>
      </w:pPr>
    </w:p>
    <w:p w14:paraId="20DE00DF" w14:textId="5DC79E8A" w:rsidR="00381CF7" w:rsidRPr="00C3428A" w:rsidRDefault="00381CF7" w:rsidP="008775CF">
      <w:pPr>
        <w:pStyle w:val="ListParagraph"/>
        <w:numPr>
          <w:ilvl w:val="0"/>
          <w:numId w:val="3"/>
        </w:numPr>
        <w:spacing w:line="360" w:lineRule="auto"/>
        <w:ind w:left="567" w:hanging="567"/>
        <w:contextualSpacing w:val="0"/>
        <w:jc w:val="both"/>
        <w:rPr>
          <w:rFonts w:ascii="Book Antiqua" w:hAnsi="Book Antiqua"/>
          <w:sz w:val="23"/>
          <w:szCs w:val="23"/>
        </w:rPr>
      </w:pPr>
      <w:r>
        <w:rPr>
          <w:rFonts w:ascii="Book Antiqua" w:hAnsi="Book Antiqua"/>
          <w:sz w:val="23"/>
          <w:szCs w:val="23"/>
        </w:rPr>
        <w:t xml:space="preserve">On 4 March 2025, </w:t>
      </w:r>
      <w:r w:rsidR="007326FE">
        <w:rPr>
          <w:rFonts w:ascii="Book Antiqua" w:hAnsi="Book Antiqua"/>
          <w:sz w:val="23"/>
          <w:szCs w:val="23"/>
        </w:rPr>
        <w:t xml:space="preserve">red paint was sprayed on the wooden door and archway masonry </w:t>
      </w:r>
      <w:r w:rsidR="009305D6">
        <w:rPr>
          <w:rFonts w:ascii="Book Antiqua" w:hAnsi="Book Antiqua"/>
          <w:sz w:val="23"/>
          <w:szCs w:val="23"/>
        </w:rPr>
        <w:t xml:space="preserve">which forms the west entrance to the Old Schools, a Grade I </w:t>
      </w:r>
      <w:r w:rsidR="00287AF1">
        <w:rPr>
          <w:rFonts w:ascii="Book Antiqua" w:hAnsi="Book Antiqua"/>
          <w:sz w:val="23"/>
          <w:szCs w:val="23"/>
        </w:rPr>
        <w:t>building</w:t>
      </w:r>
      <w:r w:rsidR="009305D6">
        <w:rPr>
          <w:rFonts w:ascii="Book Antiqua" w:hAnsi="Book Antiqua"/>
          <w:sz w:val="23"/>
          <w:szCs w:val="23"/>
        </w:rPr>
        <w:t>.</w:t>
      </w:r>
      <w:r w:rsidR="00287AF1">
        <w:rPr>
          <w:rFonts w:ascii="Book Antiqua" w:hAnsi="Book Antiqua"/>
          <w:sz w:val="23"/>
          <w:szCs w:val="23"/>
        </w:rPr>
        <w:t xml:space="preserve"> Graffiti sprayed on the masonry and wooden door read, “</w:t>
      </w:r>
      <w:r w:rsidR="00287AF1" w:rsidRPr="00287AF1">
        <w:rPr>
          <w:rFonts w:ascii="Book Antiqua" w:hAnsi="Book Antiqua"/>
          <w:i/>
          <w:iCs/>
          <w:sz w:val="23"/>
          <w:szCs w:val="23"/>
        </w:rPr>
        <w:t>DIVEST</w:t>
      </w:r>
      <w:r w:rsidR="00287AF1">
        <w:rPr>
          <w:rFonts w:ascii="Book Antiqua" w:hAnsi="Book Antiqua"/>
          <w:sz w:val="23"/>
          <w:szCs w:val="23"/>
        </w:rPr>
        <w:t>” and “</w:t>
      </w:r>
      <w:r w:rsidR="00287AF1">
        <w:rPr>
          <w:rFonts w:ascii="Book Antiqua" w:hAnsi="Book Antiqua"/>
          <w:i/>
          <w:iCs/>
          <w:sz w:val="23"/>
          <w:szCs w:val="23"/>
        </w:rPr>
        <w:t>ALWAYS RESIST…FREE PALESTINE</w:t>
      </w:r>
      <w:r w:rsidR="00287AF1" w:rsidRPr="00A31463">
        <w:rPr>
          <w:rFonts w:ascii="Book Antiqua" w:hAnsi="Book Antiqua"/>
          <w:i/>
          <w:iCs/>
          <w:sz w:val="23"/>
          <w:szCs w:val="23"/>
        </w:rPr>
        <w:t>”</w:t>
      </w:r>
      <w:r w:rsidR="0022384F" w:rsidRPr="00A31463">
        <w:rPr>
          <w:rFonts w:ascii="Book Antiqua" w:hAnsi="Book Antiqua"/>
          <w:sz w:val="23"/>
          <w:szCs w:val="23"/>
        </w:rPr>
        <w:t xml:space="preserve"> </w:t>
      </w:r>
      <w:r w:rsidR="0022384F" w:rsidRPr="005458F5">
        <w:rPr>
          <w:rFonts w:ascii="Book Antiqua" w:hAnsi="Book Antiqua"/>
          <w:b/>
          <w:bCs/>
          <w:sz w:val="23"/>
          <w:szCs w:val="23"/>
        </w:rPr>
        <w:t>[</w:t>
      </w:r>
      <w:r w:rsidR="00A6178B" w:rsidRPr="005458F5">
        <w:rPr>
          <w:rFonts w:ascii="Book Antiqua" w:hAnsi="Book Antiqua"/>
          <w:b/>
          <w:bCs/>
          <w:sz w:val="23"/>
          <w:szCs w:val="23"/>
        </w:rPr>
        <w:t>SB/7</w:t>
      </w:r>
      <w:r w:rsidR="0018206B" w:rsidRPr="005458F5">
        <w:rPr>
          <w:rFonts w:ascii="Book Antiqua" w:hAnsi="Book Antiqua"/>
          <w:b/>
          <w:bCs/>
          <w:sz w:val="23"/>
          <w:szCs w:val="23"/>
        </w:rPr>
        <w:t>/</w:t>
      </w:r>
      <w:r w:rsidR="00A6178B" w:rsidRPr="005458F5">
        <w:rPr>
          <w:rFonts w:ascii="Book Antiqua" w:hAnsi="Book Antiqua"/>
          <w:b/>
          <w:bCs/>
          <w:sz w:val="23"/>
          <w:szCs w:val="23"/>
        </w:rPr>
        <w:t xml:space="preserve">756, </w:t>
      </w:r>
      <w:r w:rsidR="00142007" w:rsidRPr="005458F5">
        <w:rPr>
          <w:rFonts w:ascii="Book Antiqua" w:hAnsi="Book Antiqua"/>
          <w:b/>
          <w:bCs/>
          <w:sz w:val="23"/>
          <w:szCs w:val="23"/>
        </w:rPr>
        <w:t>813 -</w:t>
      </w:r>
      <w:r w:rsidR="00A6178B" w:rsidRPr="005458F5">
        <w:rPr>
          <w:rFonts w:ascii="Book Antiqua" w:hAnsi="Book Antiqua"/>
          <w:b/>
          <w:bCs/>
          <w:sz w:val="23"/>
          <w:szCs w:val="23"/>
        </w:rPr>
        <w:t xml:space="preserve"> 817</w:t>
      </w:r>
      <w:r w:rsidR="007646F8" w:rsidRPr="005458F5">
        <w:rPr>
          <w:rFonts w:ascii="Book Antiqua" w:hAnsi="Book Antiqua"/>
          <w:b/>
          <w:bCs/>
          <w:sz w:val="23"/>
          <w:szCs w:val="23"/>
        </w:rPr>
        <w:t>(</w:t>
      </w:r>
      <w:r w:rsidR="00142007" w:rsidRPr="005458F5">
        <w:rPr>
          <w:rFonts w:ascii="Book Antiqua" w:hAnsi="Book Antiqua"/>
          <w:b/>
          <w:bCs/>
          <w:sz w:val="23"/>
          <w:szCs w:val="23"/>
        </w:rPr>
        <w:t>PDF118, 175 – 179</w:t>
      </w:r>
      <w:r w:rsidR="007646F8" w:rsidRPr="005458F5">
        <w:rPr>
          <w:rFonts w:ascii="Book Antiqua" w:hAnsi="Book Antiqua"/>
          <w:b/>
          <w:bCs/>
          <w:sz w:val="23"/>
          <w:szCs w:val="23"/>
        </w:rPr>
        <w:t>)</w:t>
      </w:r>
      <w:r w:rsidR="00142007" w:rsidRPr="005458F5">
        <w:rPr>
          <w:rFonts w:ascii="Book Antiqua" w:hAnsi="Book Antiqua"/>
          <w:b/>
          <w:bCs/>
          <w:sz w:val="23"/>
          <w:szCs w:val="23"/>
        </w:rPr>
        <w:t xml:space="preserve">] </w:t>
      </w:r>
      <w:r w:rsidR="00287AF1" w:rsidRPr="005458F5">
        <w:rPr>
          <w:rFonts w:ascii="Book Antiqua" w:hAnsi="Book Antiqua"/>
          <w:i/>
          <w:iCs/>
          <w:sz w:val="23"/>
          <w:szCs w:val="23"/>
        </w:rPr>
        <w:t>.</w:t>
      </w:r>
      <w:r w:rsidR="00287AF1" w:rsidRPr="00A31463">
        <w:rPr>
          <w:rFonts w:ascii="Book Antiqua" w:hAnsi="Book Antiqua"/>
          <w:i/>
          <w:iCs/>
          <w:sz w:val="23"/>
          <w:szCs w:val="23"/>
        </w:rPr>
        <w:t xml:space="preserve"> </w:t>
      </w:r>
      <w:r w:rsidR="00287AF1" w:rsidRPr="00A31463">
        <w:rPr>
          <w:rFonts w:ascii="Book Antiqua" w:hAnsi="Book Antiqua"/>
          <w:sz w:val="23"/>
          <w:szCs w:val="23"/>
        </w:rPr>
        <w:t>A g</w:t>
      </w:r>
      <w:r w:rsidR="00287AF1">
        <w:rPr>
          <w:rFonts w:ascii="Book Antiqua" w:hAnsi="Book Antiqua"/>
          <w:sz w:val="23"/>
          <w:szCs w:val="23"/>
        </w:rPr>
        <w:t>roup called Palestine Action</w:t>
      </w:r>
      <w:r w:rsidR="00795674">
        <w:rPr>
          <w:rFonts w:ascii="Book Antiqua" w:hAnsi="Book Antiqua"/>
          <w:sz w:val="23"/>
          <w:szCs w:val="23"/>
        </w:rPr>
        <w:t xml:space="preserve"> claimed responsibility for the vandalism</w:t>
      </w:r>
      <w:r w:rsidR="00641937">
        <w:rPr>
          <w:rFonts w:ascii="Book Antiqua" w:hAnsi="Book Antiqua"/>
          <w:sz w:val="23"/>
          <w:szCs w:val="23"/>
        </w:rPr>
        <w:t>: Rampton 3, §§12-17.</w:t>
      </w:r>
      <w:r w:rsidR="00795674">
        <w:rPr>
          <w:rFonts w:ascii="Book Antiqua" w:hAnsi="Book Antiqua"/>
          <w:sz w:val="23"/>
          <w:szCs w:val="23"/>
        </w:rPr>
        <w:t xml:space="preserve"> </w:t>
      </w:r>
      <w:r w:rsidR="00641937">
        <w:rPr>
          <w:rFonts w:ascii="Book Antiqua" w:hAnsi="Book Antiqua"/>
          <w:sz w:val="23"/>
          <w:szCs w:val="23"/>
        </w:rPr>
        <w:t xml:space="preserve">Cambridge for Palestine </w:t>
      </w:r>
      <w:r w:rsidR="00CB0CF2">
        <w:rPr>
          <w:rFonts w:ascii="Book Antiqua" w:hAnsi="Book Antiqua"/>
          <w:sz w:val="23"/>
          <w:szCs w:val="23"/>
        </w:rPr>
        <w:t xml:space="preserve">endorsed this action, by republishing Palestine Action’s post (claiming responsibility) and </w:t>
      </w:r>
      <w:r w:rsidR="008C61EF">
        <w:rPr>
          <w:rFonts w:ascii="Book Antiqua" w:hAnsi="Book Antiqua"/>
          <w:sz w:val="23"/>
          <w:szCs w:val="23"/>
        </w:rPr>
        <w:t>stating</w:t>
      </w:r>
      <w:r w:rsidR="00D24073">
        <w:rPr>
          <w:rFonts w:ascii="Book Antiqua" w:hAnsi="Book Antiqua"/>
          <w:sz w:val="23"/>
          <w:szCs w:val="23"/>
        </w:rPr>
        <w:t>,</w:t>
      </w:r>
      <w:r w:rsidR="008C61EF">
        <w:rPr>
          <w:rFonts w:ascii="Book Antiqua" w:hAnsi="Book Antiqua"/>
          <w:sz w:val="23"/>
          <w:szCs w:val="23"/>
        </w:rPr>
        <w:t xml:space="preserve"> “</w:t>
      </w:r>
      <w:r w:rsidR="008C61EF" w:rsidRPr="008C61EF">
        <w:rPr>
          <w:rFonts w:ascii="Book Antiqua" w:hAnsi="Book Antiqua"/>
          <w:sz w:val="23"/>
          <w:szCs w:val="23"/>
        </w:rPr>
        <w:t>Di</w:t>
      </w:r>
      <w:r w:rsidR="008C61EF" w:rsidRPr="00D24073">
        <w:rPr>
          <w:rFonts w:ascii="Book Antiqua" w:hAnsi="Book Antiqua"/>
          <w:i/>
          <w:iCs/>
          <w:sz w:val="23"/>
          <w:szCs w:val="23"/>
        </w:rPr>
        <w:t>vest from Israeli arms or expect resistance. Full support to Palestine Action.</w:t>
      </w:r>
      <w:r w:rsidR="008C61EF" w:rsidRPr="008C61EF">
        <w:rPr>
          <w:rFonts w:ascii="Book Antiqua" w:hAnsi="Book Antiqua"/>
          <w:sz w:val="23"/>
          <w:szCs w:val="23"/>
        </w:rPr>
        <w:t>”</w:t>
      </w:r>
      <w:r w:rsidR="00897A4A">
        <w:rPr>
          <w:rFonts w:ascii="Book Antiqua" w:hAnsi="Book Antiqua"/>
          <w:sz w:val="23"/>
          <w:szCs w:val="23"/>
        </w:rPr>
        <w:t>: Rampton 3, §</w:t>
      </w:r>
      <w:r w:rsidR="00F916EF">
        <w:rPr>
          <w:rFonts w:ascii="Book Antiqua" w:hAnsi="Book Antiqua"/>
          <w:sz w:val="23"/>
          <w:szCs w:val="23"/>
        </w:rPr>
        <w:t>18</w:t>
      </w:r>
      <w:r w:rsidR="0022384F">
        <w:rPr>
          <w:rFonts w:ascii="Book Antiqua" w:hAnsi="Book Antiqua"/>
          <w:sz w:val="23"/>
          <w:szCs w:val="23"/>
        </w:rPr>
        <w:t xml:space="preserve"> </w:t>
      </w:r>
      <w:r w:rsidR="0022384F">
        <w:rPr>
          <w:rFonts w:ascii="Book Antiqua" w:hAnsi="Book Antiqua"/>
          <w:b/>
          <w:bCs/>
          <w:sz w:val="23"/>
          <w:szCs w:val="23"/>
        </w:rPr>
        <w:t>[</w:t>
      </w:r>
      <w:r w:rsidR="00FC1609">
        <w:rPr>
          <w:rFonts w:ascii="Book Antiqua" w:hAnsi="Book Antiqua"/>
          <w:b/>
          <w:bCs/>
          <w:sz w:val="23"/>
          <w:szCs w:val="23"/>
        </w:rPr>
        <w:t>SB/7/757</w:t>
      </w:r>
      <w:r w:rsidR="00A31463">
        <w:rPr>
          <w:rFonts w:ascii="Book Antiqua" w:hAnsi="Book Antiqua"/>
          <w:b/>
          <w:bCs/>
          <w:sz w:val="23"/>
          <w:szCs w:val="23"/>
        </w:rPr>
        <w:t>(</w:t>
      </w:r>
      <w:r w:rsidR="00142007">
        <w:rPr>
          <w:rFonts w:ascii="Book Antiqua" w:hAnsi="Book Antiqua"/>
          <w:b/>
          <w:bCs/>
          <w:sz w:val="23"/>
          <w:szCs w:val="23"/>
        </w:rPr>
        <w:t>PDF119</w:t>
      </w:r>
      <w:r w:rsidR="00A31463">
        <w:rPr>
          <w:rFonts w:ascii="Book Antiqua" w:hAnsi="Book Antiqua"/>
          <w:b/>
          <w:bCs/>
          <w:sz w:val="23"/>
          <w:szCs w:val="23"/>
        </w:rPr>
        <w:t>)</w:t>
      </w:r>
      <w:r w:rsidR="00142007">
        <w:rPr>
          <w:rFonts w:ascii="Book Antiqua" w:hAnsi="Book Antiqua"/>
          <w:b/>
          <w:bCs/>
          <w:sz w:val="23"/>
          <w:szCs w:val="23"/>
        </w:rPr>
        <w:t>]</w:t>
      </w:r>
      <w:r w:rsidR="00F916EF">
        <w:rPr>
          <w:rFonts w:ascii="Book Antiqua" w:hAnsi="Book Antiqua"/>
          <w:sz w:val="23"/>
          <w:szCs w:val="23"/>
        </w:rPr>
        <w:t>.</w:t>
      </w:r>
    </w:p>
    <w:p w14:paraId="28433436" w14:textId="77777777" w:rsidR="00834ACE" w:rsidRPr="00150152" w:rsidRDefault="00834ACE" w:rsidP="00834ACE">
      <w:pPr>
        <w:spacing w:line="360" w:lineRule="auto"/>
        <w:jc w:val="both"/>
        <w:rPr>
          <w:rFonts w:ascii="Book Antiqua" w:hAnsi="Book Antiqua"/>
          <w:sz w:val="6"/>
          <w:szCs w:val="6"/>
        </w:rPr>
      </w:pPr>
    </w:p>
    <w:p w14:paraId="4759DDDB" w14:textId="3C2DB9B6" w:rsidR="00090BA7" w:rsidRPr="00C3428A" w:rsidRDefault="00090BA7" w:rsidP="00563259">
      <w:pPr>
        <w:pStyle w:val="ListParagraph"/>
        <w:numPr>
          <w:ilvl w:val="0"/>
          <w:numId w:val="2"/>
        </w:numPr>
        <w:spacing w:line="360" w:lineRule="auto"/>
        <w:ind w:left="567" w:hanging="567"/>
        <w:contextualSpacing w:val="0"/>
        <w:jc w:val="both"/>
        <w:rPr>
          <w:rFonts w:ascii="Book Antiqua" w:hAnsi="Book Antiqua"/>
          <w:b/>
          <w:bCs/>
          <w:sz w:val="23"/>
          <w:szCs w:val="23"/>
          <w:u w:val="single"/>
        </w:rPr>
      </w:pPr>
      <w:r w:rsidRPr="00C3428A">
        <w:rPr>
          <w:rFonts w:ascii="Book Antiqua" w:hAnsi="Book Antiqua"/>
          <w:b/>
          <w:bCs/>
          <w:sz w:val="23"/>
          <w:szCs w:val="23"/>
          <w:u w:val="single"/>
        </w:rPr>
        <w:t>HARM TO THE UNIVERSITY</w:t>
      </w:r>
    </w:p>
    <w:p w14:paraId="2FBEC213" w14:textId="587CC512" w:rsidR="000B7B23" w:rsidRDefault="00AC3C48" w:rsidP="00624586">
      <w:pPr>
        <w:pStyle w:val="ListParagraph"/>
        <w:numPr>
          <w:ilvl w:val="0"/>
          <w:numId w:val="3"/>
        </w:numPr>
        <w:spacing w:line="360" w:lineRule="auto"/>
        <w:ind w:left="567" w:hanging="567"/>
        <w:contextualSpacing w:val="0"/>
        <w:jc w:val="both"/>
        <w:rPr>
          <w:rFonts w:ascii="Book Antiqua" w:hAnsi="Book Antiqua"/>
          <w:sz w:val="23"/>
          <w:szCs w:val="23"/>
        </w:rPr>
      </w:pPr>
      <w:r>
        <w:rPr>
          <w:rFonts w:ascii="Book Antiqua" w:hAnsi="Book Antiqua"/>
          <w:sz w:val="23"/>
          <w:szCs w:val="23"/>
        </w:rPr>
        <w:t xml:space="preserve">The harm to the University caused by the direct action </w:t>
      </w:r>
      <w:r w:rsidR="0096591D">
        <w:rPr>
          <w:rFonts w:ascii="Book Antiqua" w:hAnsi="Book Antiqua"/>
          <w:sz w:val="23"/>
          <w:szCs w:val="23"/>
        </w:rPr>
        <w:t xml:space="preserve">was substantial and is </w:t>
      </w:r>
      <w:r>
        <w:rPr>
          <w:rFonts w:ascii="Book Antiqua" w:hAnsi="Book Antiqua"/>
          <w:sz w:val="23"/>
          <w:szCs w:val="23"/>
        </w:rPr>
        <w:t xml:space="preserve">set out in Rampton 1, </w:t>
      </w:r>
      <w:r w:rsidR="00303243">
        <w:rPr>
          <w:rFonts w:ascii="Book Antiqua" w:hAnsi="Book Antiqua"/>
          <w:sz w:val="23"/>
          <w:szCs w:val="23"/>
        </w:rPr>
        <w:t>§§</w:t>
      </w:r>
      <w:r w:rsidR="00F63C92">
        <w:rPr>
          <w:rFonts w:ascii="Book Antiqua" w:hAnsi="Book Antiqua"/>
          <w:sz w:val="23"/>
          <w:szCs w:val="23"/>
        </w:rPr>
        <w:t xml:space="preserve">60-83 and </w:t>
      </w:r>
      <w:r w:rsidR="00303243">
        <w:rPr>
          <w:rFonts w:ascii="Book Antiqua" w:hAnsi="Book Antiqua"/>
          <w:sz w:val="23"/>
          <w:szCs w:val="23"/>
        </w:rPr>
        <w:t>153-160</w:t>
      </w:r>
      <w:r w:rsidR="00015350">
        <w:rPr>
          <w:rFonts w:ascii="Book Antiqua" w:hAnsi="Book Antiqua"/>
          <w:sz w:val="23"/>
          <w:szCs w:val="23"/>
        </w:rPr>
        <w:t xml:space="preserve"> </w:t>
      </w:r>
      <w:r w:rsidR="00015350">
        <w:rPr>
          <w:rFonts w:ascii="Book Antiqua" w:hAnsi="Book Antiqua"/>
          <w:b/>
          <w:bCs/>
          <w:sz w:val="23"/>
          <w:szCs w:val="23"/>
        </w:rPr>
        <w:t>[</w:t>
      </w:r>
      <w:r w:rsidR="00211D7C">
        <w:rPr>
          <w:rFonts w:ascii="Book Antiqua" w:hAnsi="Book Antiqua"/>
          <w:b/>
          <w:bCs/>
          <w:sz w:val="23"/>
          <w:szCs w:val="23"/>
        </w:rPr>
        <w:t>HB</w:t>
      </w:r>
      <w:r w:rsidR="00015350">
        <w:rPr>
          <w:rFonts w:ascii="Book Antiqua" w:hAnsi="Book Antiqua"/>
          <w:b/>
          <w:bCs/>
          <w:sz w:val="23"/>
          <w:szCs w:val="23"/>
        </w:rPr>
        <w:t>/</w:t>
      </w:r>
      <w:r w:rsidR="00142007">
        <w:rPr>
          <w:rFonts w:ascii="Book Antiqua" w:hAnsi="Book Antiqua"/>
          <w:b/>
          <w:bCs/>
          <w:sz w:val="23"/>
          <w:szCs w:val="23"/>
        </w:rPr>
        <w:t>6/</w:t>
      </w:r>
      <w:r w:rsidR="00EE2521">
        <w:rPr>
          <w:rFonts w:ascii="Book Antiqua" w:hAnsi="Book Antiqua"/>
          <w:b/>
          <w:bCs/>
          <w:sz w:val="23"/>
          <w:szCs w:val="23"/>
        </w:rPr>
        <w:t>57</w:t>
      </w:r>
      <w:r w:rsidR="00A31463">
        <w:rPr>
          <w:rFonts w:ascii="Book Antiqua" w:hAnsi="Book Antiqua"/>
          <w:b/>
          <w:bCs/>
          <w:sz w:val="23"/>
          <w:szCs w:val="23"/>
        </w:rPr>
        <w:t>(</w:t>
      </w:r>
      <w:r w:rsidR="00142007">
        <w:rPr>
          <w:rFonts w:ascii="Book Antiqua" w:hAnsi="Book Antiqua"/>
          <w:b/>
          <w:bCs/>
          <w:sz w:val="23"/>
          <w:szCs w:val="23"/>
        </w:rPr>
        <w:t>PDF59</w:t>
      </w:r>
      <w:r w:rsidR="00A31463">
        <w:rPr>
          <w:rFonts w:ascii="Book Antiqua" w:hAnsi="Book Antiqua"/>
          <w:b/>
          <w:bCs/>
          <w:sz w:val="23"/>
          <w:szCs w:val="23"/>
        </w:rPr>
        <w:t>)</w:t>
      </w:r>
      <w:r w:rsidR="00142007">
        <w:rPr>
          <w:rFonts w:ascii="Book Antiqua" w:hAnsi="Book Antiqua"/>
          <w:b/>
          <w:bCs/>
          <w:sz w:val="23"/>
          <w:szCs w:val="23"/>
        </w:rPr>
        <w:t>]</w:t>
      </w:r>
      <w:r w:rsidR="00303243">
        <w:rPr>
          <w:rFonts w:ascii="Book Antiqua" w:hAnsi="Book Antiqua"/>
          <w:sz w:val="23"/>
          <w:szCs w:val="23"/>
        </w:rPr>
        <w:t>.</w:t>
      </w:r>
      <w:r w:rsidR="00D366A3">
        <w:rPr>
          <w:rFonts w:ascii="Book Antiqua" w:hAnsi="Book Antiqua"/>
          <w:sz w:val="23"/>
          <w:szCs w:val="23"/>
        </w:rPr>
        <w:t xml:space="preserve"> In summary:</w:t>
      </w:r>
    </w:p>
    <w:p w14:paraId="25798B10" w14:textId="705F1314" w:rsidR="000B39D3" w:rsidRPr="00546B85" w:rsidRDefault="000B39D3" w:rsidP="00D366A3">
      <w:pPr>
        <w:pStyle w:val="ListParagraph"/>
        <w:numPr>
          <w:ilvl w:val="0"/>
          <w:numId w:val="10"/>
        </w:numPr>
        <w:spacing w:line="360" w:lineRule="auto"/>
        <w:ind w:left="1701" w:hanging="567"/>
        <w:contextualSpacing w:val="0"/>
        <w:jc w:val="both"/>
        <w:rPr>
          <w:rFonts w:ascii="Book Antiqua" w:hAnsi="Book Antiqua"/>
          <w:sz w:val="23"/>
          <w:szCs w:val="23"/>
          <w:u w:val="single"/>
        </w:rPr>
      </w:pPr>
      <w:r w:rsidRPr="00546B85">
        <w:rPr>
          <w:rFonts w:ascii="Book Antiqua" w:hAnsi="Book Antiqua"/>
          <w:sz w:val="23"/>
          <w:szCs w:val="23"/>
          <w:u w:val="single"/>
        </w:rPr>
        <w:t>Cancellation of graduation ceremonies at Senate House</w:t>
      </w:r>
      <w:r w:rsidR="0096591D">
        <w:rPr>
          <w:rFonts w:ascii="Book Antiqua" w:hAnsi="Book Antiqua"/>
          <w:sz w:val="23"/>
          <w:szCs w:val="23"/>
        </w:rPr>
        <w:t xml:space="preserve">: </w:t>
      </w:r>
      <w:r w:rsidR="00E02CED">
        <w:rPr>
          <w:rFonts w:ascii="Book Antiqua" w:hAnsi="Book Antiqua"/>
          <w:sz w:val="23"/>
          <w:szCs w:val="23"/>
        </w:rPr>
        <w:t xml:space="preserve">the two occupations resulted in the disruption of </w:t>
      </w:r>
      <w:r w:rsidR="00937796">
        <w:rPr>
          <w:rFonts w:ascii="Book Antiqua" w:hAnsi="Book Antiqua"/>
          <w:sz w:val="23"/>
          <w:szCs w:val="23"/>
        </w:rPr>
        <w:t xml:space="preserve">graduations for </w:t>
      </w:r>
      <w:r w:rsidR="007005C7">
        <w:rPr>
          <w:rFonts w:ascii="Book Antiqua" w:hAnsi="Book Antiqua"/>
          <w:sz w:val="23"/>
          <w:szCs w:val="23"/>
        </w:rPr>
        <w:t>1,658</w:t>
      </w:r>
      <w:r w:rsidR="00E02CED">
        <w:rPr>
          <w:rFonts w:ascii="Book Antiqua" w:hAnsi="Book Antiqua"/>
          <w:sz w:val="23"/>
          <w:szCs w:val="23"/>
        </w:rPr>
        <w:t xml:space="preserve"> students</w:t>
      </w:r>
      <w:r w:rsidR="00937796">
        <w:rPr>
          <w:rFonts w:ascii="Book Antiqua" w:hAnsi="Book Antiqua"/>
          <w:sz w:val="23"/>
          <w:szCs w:val="23"/>
        </w:rPr>
        <w:t xml:space="preserve"> an</w:t>
      </w:r>
      <w:r w:rsidR="00C63BB8">
        <w:rPr>
          <w:rFonts w:ascii="Book Antiqua" w:hAnsi="Book Antiqua"/>
          <w:sz w:val="23"/>
          <w:szCs w:val="23"/>
        </w:rPr>
        <w:t xml:space="preserve">d </w:t>
      </w:r>
      <w:r w:rsidR="00406BA2">
        <w:rPr>
          <w:rFonts w:ascii="Book Antiqua" w:hAnsi="Book Antiqua"/>
          <w:sz w:val="23"/>
          <w:szCs w:val="23"/>
        </w:rPr>
        <w:t>approximately</w:t>
      </w:r>
      <w:r w:rsidR="00866E71">
        <w:rPr>
          <w:rFonts w:ascii="Book Antiqua" w:hAnsi="Book Antiqua"/>
          <w:sz w:val="23"/>
          <w:szCs w:val="23"/>
        </w:rPr>
        <w:t xml:space="preserve"> 3,000 guests</w:t>
      </w:r>
      <w:r w:rsidR="006E36F5">
        <w:rPr>
          <w:rFonts w:ascii="Book Antiqua" w:hAnsi="Book Antiqua"/>
          <w:sz w:val="23"/>
          <w:szCs w:val="23"/>
        </w:rPr>
        <w:t xml:space="preserve">. </w:t>
      </w:r>
      <w:r w:rsidR="00581AAB">
        <w:rPr>
          <w:rFonts w:ascii="Book Antiqua" w:hAnsi="Book Antiqua"/>
          <w:sz w:val="23"/>
          <w:szCs w:val="23"/>
        </w:rPr>
        <w:t>Aside from the administrative difficulties in relocating these ceremonies, t</w:t>
      </w:r>
      <w:r w:rsidR="00E66E80">
        <w:rPr>
          <w:rFonts w:ascii="Book Antiqua" w:hAnsi="Book Antiqua"/>
          <w:sz w:val="23"/>
          <w:szCs w:val="23"/>
        </w:rPr>
        <w:t xml:space="preserve">he University considers that there is a </w:t>
      </w:r>
      <w:r w:rsidR="00581AAB">
        <w:rPr>
          <w:rFonts w:ascii="Book Antiqua" w:hAnsi="Book Antiqua"/>
          <w:sz w:val="23"/>
          <w:szCs w:val="23"/>
        </w:rPr>
        <w:t xml:space="preserve">substantial harm suffered by graduands (and their families) when </w:t>
      </w:r>
      <w:r w:rsidR="00571E6C">
        <w:rPr>
          <w:rFonts w:ascii="Book Antiqua" w:hAnsi="Book Antiqua"/>
          <w:sz w:val="23"/>
          <w:szCs w:val="23"/>
        </w:rPr>
        <w:t>they are</w:t>
      </w:r>
      <w:r w:rsidR="00581AAB">
        <w:rPr>
          <w:rFonts w:ascii="Book Antiqua" w:hAnsi="Book Antiqua"/>
          <w:sz w:val="23"/>
          <w:szCs w:val="23"/>
        </w:rPr>
        <w:t xml:space="preserve"> not able to </w:t>
      </w:r>
      <w:r w:rsidR="00571E6C">
        <w:rPr>
          <w:rFonts w:ascii="Book Antiqua" w:hAnsi="Book Antiqua"/>
          <w:sz w:val="23"/>
          <w:szCs w:val="23"/>
        </w:rPr>
        <w:t xml:space="preserve">graduate, as expected, </w:t>
      </w:r>
      <w:r w:rsidR="00581AAB">
        <w:rPr>
          <w:rFonts w:ascii="Book Antiqua" w:hAnsi="Book Antiqua"/>
          <w:sz w:val="23"/>
          <w:szCs w:val="23"/>
        </w:rPr>
        <w:t xml:space="preserve">in the </w:t>
      </w:r>
      <w:r w:rsidR="00E32120">
        <w:rPr>
          <w:rFonts w:ascii="Book Antiqua" w:hAnsi="Book Antiqua"/>
          <w:sz w:val="23"/>
          <w:szCs w:val="23"/>
        </w:rPr>
        <w:t>historic and traditional setting of Senate House.</w:t>
      </w:r>
      <w:r w:rsidR="00581AAB">
        <w:rPr>
          <w:rFonts w:ascii="Book Antiqua" w:hAnsi="Book Antiqua"/>
          <w:sz w:val="23"/>
          <w:szCs w:val="23"/>
        </w:rPr>
        <w:t xml:space="preserve"> </w:t>
      </w:r>
      <w:r w:rsidR="00C63BB8">
        <w:rPr>
          <w:rFonts w:ascii="Book Antiqua" w:hAnsi="Book Antiqua"/>
          <w:sz w:val="23"/>
          <w:szCs w:val="23"/>
        </w:rPr>
        <w:t xml:space="preserve"> </w:t>
      </w:r>
      <w:r w:rsidR="00E02CED">
        <w:rPr>
          <w:rFonts w:ascii="Book Antiqua" w:hAnsi="Book Antiqua"/>
          <w:sz w:val="23"/>
          <w:szCs w:val="23"/>
        </w:rPr>
        <w:t xml:space="preserve"> </w:t>
      </w:r>
      <w:r w:rsidR="0096591D">
        <w:rPr>
          <w:rFonts w:ascii="Book Antiqua" w:hAnsi="Book Antiqua"/>
          <w:sz w:val="23"/>
          <w:szCs w:val="23"/>
        </w:rPr>
        <w:t xml:space="preserve"> </w:t>
      </w:r>
      <w:r w:rsidRPr="00546B85">
        <w:rPr>
          <w:rFonts w:ascii="Book Antiqua" w:hAnsi="Book Antiqua"/>
          <w:sz w:val="23"/>
          <w:szCs w:val="23"/>
          <w:u w:val="single"/>
        </w:rPr>
        <w:t xml:space="preserve"> </w:t>
      </w:r>
    </w:p>
    <w:p w14:paraId="3D6CB2A2" w14:textId="708EAD9C" w:rsidR="00D366A3" w:rsidRPr="00546B85" w:rsidRDefault="005249E5" w:rsidP="00D366A3">
      <w:pPr>
        <w:pStyle w:val="ListParagraph"/>
        <w:numPr>
          <w:ilvl w:val="0"/>
          <w:numId w:val="10"/>
        </w:numPr>
        <w:spacing w:line="360" w:lineRule="auto"/>
        <w:ind w:left="1701" w:hanging="567"/>
        <w:contextualSpacing w:val="0"/>
        <w:jc w:val="both"/>
        <w:rPr>
          <w:rFonts w:ascii="Book Antiqua" w:hAnsi="Book Antiqua"/>
          <w:sz w:val="23"/>
          <w:szCs w:val="23"/>
          <w:u w:val="single"/>
        </w:rPr>
      </w:pPr>
      <w:r w:rsidRPr="00546B85">
        <w:rPr>
          <w:rFonts w:ascii="Book Antiqua" w:hAnsi="Book Antiqua"/>
          <w:sz w:val="23"/>
          <w:szCs w:val="23"/>
          <w:u w:val="single"/>
        </w:rPr>
        <w:t>Operational disruption</w:t>
      </w:r>
      <w:r w:rsidR="0073180F">
        <w:rPr>
          <w:rFonts w:ascii="Book Antiqua" w:hAnsi="Book Antiqua"/>
          <w:sz w:val="23"/>
          <w:szCs w:val="23"/>
        </w:rPr>
        <w:t xml:space="preserve">: </w:t>
      </w:r>
      <w:r w:rsidR="00AE60FB">
        <w:rPr>
          <w:rFonts w:ascii="Book Antiqua" w:hAnsi="Book Antiqua"/>
          <w:sz w:val="23"/>
          <w:szCs w:val="23"/>
        </w:rPr>
        <w:t>University staff were unable to work at Greenwich House between 22 November 2024 and 8 January 2025 and their relocation involved significant resource</w:t>
      </w:r>
      <w:r w:rsidR="0091069A">
        <w:rPr>
          <w:rFonts w:ascii="Book Antiqua" w:hAnsi="Book Antiqua"/>
          <w:sz w:val="23"/>
          <w:szCs w:val="23"/>
        </w:rPr>
        <w:t xml:space="preserve"> (</w:t>
      </w:r>
      <w:r w:rsidR="009102CB">
        <w:rPr>
          <w:rFonts w:ascii="Book Antiqua" w:hAnsi="Book Antiqua"/>
          <w:sz w:val="23"/>
          <w:szCs w:val="23"/>
        </w:rPr>
        <w:t>approximately 500 staff work there although the numbers working there each day will be lower due to hybrid working)</w:t>
      </w:r>
      <w:r w:rsidR="00AE60FB">
        <w:rPr>
          <w:rFonts w:ascii="Book Antiqua" w:hAnsi="Book Antiqua"/>
          <w:sz w:val="23"/>
          <w:szCs w:val="23"/>
        </w:rPr>
        <w:t>.</w:t>
      </w:r>
      <w:r w:rsidR="00720C13">
        <w:rPr>
          <w:rFonts w:ascii="Book Antiqua" w:hAnsi="Book Antiqua"/>
          <w:sz w:val="23"/>
          <w:szCs w:val="23"/>
        </w:rPr>
        <w:t xml:space="preserve"> </w:t>
      </w:r>
      <w:r w:rsidR="00273E75">
        <w:rPr>
          <w:rFonts w:ascii="Book Antiqua" w:hAnsi="Book Antiqua"/>
          <w:sz w:val="23"/>
          <w:szCs w:val="23"/>
        </w:rPr>
        <w:t xml:space="preserve">On their return, staff had to carry out an audit of </w:t>
      </w:r>
      <w:r w:rsidR="003205A9">
        <w:rPr>
          <w:rFonts w:ascii="Book Antiqua" w:hAnsi="Book Antiqua"/>
          <w:sz w:val="23"/>
          <w:szCs w:val="23"/>
        </w:rPr>
        <w:t xml:space="preserve">the documents within the building </w:t>
      </w:r>
      <w:r w:rsidR="001536BB">
        <w:rPr>
          <w:rFonts w:ascii="Book Antiqua" w:hAnsi="Book Antiqua"/>
          <w:sz w:val="23"/>
          <w:szCs w:val="23"/>
        </w:rPr>
        <w:t xml:space="preserve">to establish whether they had been interfered with. </w:t>
      </w:r>
      <w:r w:rsidR="00AE60FB">
        <w:rPr>
          <w:rFonts w:ascii="Book Antiqua" w:hAnsi="Book Antiqua"/>
          <w:sz w:val="23"/>
          <w:szCs w:val="23"/>
        </w:rPr>
        <w:t xml:space="preserve"> </w:t>
      </w:r>
    </w:p>
    <w:p w14:paraId="78F40517" w14:textId="5A7F89E1" w:rsidR="005249E5" w:rsidRDefault="005249E5" w:rsidP="00D366A3">
      <w:pPr>
        <w:pStyle w:val="ListParagraph"/>
        <w:numPr>
          <w:ilvl w:val="0"/>
          <w:numId w:val="10"/>
        </w:numPr>
        <w:spacing w:line="360" w:lineRule="auto"/>
        <w:ind w:left="1701" w:hanging="567"/>
        <w:contextualSpacing w:val="0"/>
        <w:jc w:val="both"/>
        <w:rPr>
          <w:rFonts w:ascii="Book Antiqua" w:hAnsi="Book Antiqua"/>
          <w:sz w:val="23"/>
          <w:szCs w:val="23"/>
        </w:rPr>
      </w:pPr>
      <w:r w:rsidRPr="00546B85">
        <w:rPr>
          <w:rFonts w:ascii="Book Antiqua" w:hAnsi="Book Antiqua"/>
          <w:sz w:val="23"/>
          <w:szCs w:val="23"/>
          <w:u w:val="single"/>
        </w:rPr>
        <w:t>Risk of disclosure of confidential and commercially sensitive information</w:t>
      </w:r>
      <w:r w:rsidR="00546B85">
        <w:rPr>
          <w:rFonts w:ascii="Book Antiqua" w:hAnsi="Book Antiqua"/>
          <w:sz w:val="23"/>
          <w:szCs w:val="23"/>
        </w:rPr>
        <w:t xml:space="preserve">: </w:t>
      </w:r>
      <w:r w:rsidR="00A3376F">
        <w:rPr>
          <w:rFonts w:ascii="Book Antiqua" w:hAnsi="Book Antiqua"/>
          <w:sz w:val="23"/>
          <w:szCs w:val="23"/>
        </w:rPr>
        <w:t>t</w:t>
      </w:r>
      <w:r w:rsidR="00A3376F" w:rsidRPr="00A3376F">
        <w:rPr>
          <w:rFonts w:ascii="Book Antiqua" w:hAnsi="Book Antiqua"/>
          <w:sz w:val="23"/>
          <w:szCs w:val="23"/>
        </w:rPr>
        <w:t xml:space="preserve">he University has an annual turnover from research grants in excess of £500m. Its funding partners rely on the University to safeguard their interests and their confidential information. The publication or misuse of documents and information stored at Greenwich House and The Old Schools could have serious consequences for the University, </w:t>
      </w:r>
      <w:r w:rsidR="00801EE4">
        <w:rPr>
          <w:rFonts w:ascii="Book Antiqua" w:hAnsi="Book Antiqua"/>
          <w:sz w:val="23"/>
          <w:szCs w:val="23"/>
        </w:rPr>
        <w:t>including</w:t>
      </w:r>
      <w:r w:rsidR="00A3376F" w:rsidRPr="00A3376F">
        <w:rPr>
          <w:rFonts w:ascii="Book Antiqua" w:hAnsi="Book Antiqua"/>
          <w:sz w:val="23"/>
          <w:szCs w:val="23"/>
        </w:rPr>
        <w:t xml:space="preserve"> the withdrawal of grant funding and reputational damage as a secure and professional research partner</w:t>
      </w:r>
      <w:r w:rsidR="004D35AC">
        <w:rPr>
          <w:rFonts w:ascii="Book Antiqua" w:hAnsi="Book Antiqua"/>
          <w:sz w:val="23"/>
          <w:szCs w:val="23"/>
        </w:rPr>
        <w:t xml:space="preserve">. </w:t>
      </w:r>
    </w:p>
    <w:p w14:paraId="4356BFF0" w14:textId="4D6A871D" w:rsidR="005249E5" w:rsidRDefault="005249E5" w:rsidP="00D366A3">
      <w:pPr>
        <w:pStyle w:val="ListParagraph"/>
        <w:numPr>
          <w:ilvl w:val="0"/>
          <w:numId w:val="10"/>
        </w:numPr>
        <w:spacing w:line="360" w:lineRule="auto"/>
        <w:ind w:left="1701" w:hanging="567"/>
        <w:contextualSpacing w:val="0"/>
        <w:jc w:val="both"/>
        <w:rPr>
          <w:rFonts w:ascii="Book Antiqua" w:hAnsi="Book Antiqua"/>
          <w:sz w:val="23"/>
          <w:szCs w:val="23"/>
        </w:rPr>
      </w:pPr>
      <w:r w:rsidRPr="00546B85">
        <w:rPr>
          <w:rFonts w:ascii="Book Antiqua" w:hAnsi="Book Antiqua"/>
          <w:sz w:val="23"/>
          <w:szCs w:val="23"/>
          <w:u w:val="single"/>
        </w:rPr>
        <w:t>Financial costs</w:t>
      </w:r>
      <w:r w:rsidR="004E0753">
        <w:rPr>
          <w:rFonts w:ascii="Book Antiqua" w:hAnsi="Book Antiqua"/>
          <w:sz w:val="23"/>
          <w:szCs w:val="23"/>
        </w:rPr>
        <w:t xml:space="preserve">: </w:t>
      </w:r>
      <w:r w:rsidR="004B30B0">
        <w:rPr>
          <w:rFonts w:ascii="Book Antiqua" w:hAnsi="Book Antiqua"/>
          <w:sz w:val="23"/>
          <w:szCs w:val="23"/>
        </w:rPr>
        <w:t>including extra security, cleaning and legal costs (prior to this claim),</w:t>
      </w:r>
      <w:r w:rsidR="00AF5E03">
        <w:rPr>
          <w:rFonts w:ascii="Book Antiqua" w:hAnsi="Book Antiqua"/>
          <w:sz w:val="23"/>
          <w:szCs w:val="23"/>
        </w:rPr>
        <w:t xml:space="preserve"> </w:t>
      </w:r>
      <w:r w:rsidR="001E4AD3">
        <w:rPr>
          <w:rFonts w:ascii="Book Antiqua" w:hAnsi="Book Antiqua"/>
          <w:sz w:val="23"/>
          <w:szCs w:val="23"/>
        </w:rPr>
        <w:t>as well as</w:t>
      </w:r>
      <w:r w:rsidR="00AF5E03">
        <w:rPr>
          <w:rFonts w:ascii="Book Antiqua" w:hAnsi="Book Antiqua"/>
          <w:sz w:val="23"/>
          <w:szCs w:val="23"/>
        </w:rPr>
        <w:t xml:space="preserve"> the costs of relocating graduations</w:t>
      </w:r>
      <w:r w:rsidR="001E4AD3">
        <w:rPr>
          <w:rFonts w:ascii="Book Antiqua" w:hAnsi="Book Antiqua"/>
          <w:sz w:val="23"/>
          <w:szCs w:val="23"/>
        </w:rPr>
        <w:t xml:space="preserve">, the University has incurred </w:t>
      </w:r>
      <w:r w:rsidR="00C33CA3">
        <w:rPr>
          <w:rFonts w:ascii="Book Antiqua" w:hAnsi="Book Antiqua"/>
          <w:sz w:val="23"/>
          <w:szCs w:val="23"/>
        </w:rPr>
        <w:t>costs in excess of £230,000.</w:t>
      </w:r>
    </w:p>
    <w:p w14:paraId="3640677D" w14:textId="771D6101" w:rsidR="00101279" w:rsidRPr="00911181" w:rsidRDefault="000B39D3" w:rsidP="00911181">
      <w:pPr>
        <w:pStyle w:val="ListParagraph"/>
        <w:numPr>
          <w:ilvl w:val="0"/>
          <w:numId w:val="10"/>
        </w:numPr>
        <w:spacing w:line="360" w:lineRule="auto"/>
        <w:ind w:left="1701" w:hanging="567"/>
        <w:contextualSpacing w:val="0"/>
        <w:jc w:val="both"/>
        <w:rPr>
          <w:rFonts w:ascii="Book Antiqua" w:hAnsi="Book Antiqua"/>
          <w:sz w:val="23"/>
          <w:szCs w:val="23"/>
        </w:rPr>
      </w:pPr>
      <w:r w:rsidRPr="00546B85">
        <w:rPr>
          <w:rFonts w:ascii="Book Antiqua" w:hAnsi="Book Antiqua"/>
          <w:sz w:val="23"/>
          <w:szCs w:val="23"/>
          <w:u w:val="single"/>
        </w:rPr>
        <w:t>Health and safety</w:t>
      </w:r>
      <w:r w:rsidR="00C33CA3">
        <w:rPr>
          <w:rFonts w:ascii="Book Antiqua" w:hAnsi="Book Antiqua"/>
          <w:sz w:val="23"/>
          <w:szCs w:val="23"/>
        </w:rPr>
        <w:t xml:space="preserve">: the blockading of entry and exit points in Greenwich House </w:t>
      </w:r>
      <w:r w:rsidR="00BB5492">
        <w:rPr>
          <w:rFonts w:ascii="Book Antiqua" w:hAnsi="Book Antiqua"/>
          <w:sz w:val="23"/>
          <w:szCs w:val="23"/>
        </w:rPr>
        <w:t xml:space="preserve">raised </w:t>
      </w:r>
      <w:r w:rsidR="00366C1C">
        <w:rPr>
          <w:rFonts w:ascii="Book Antiqua" w:hAnsi="Book Antiqua"/>
          <w:sz w:val="23"/>
          <w:szCs w:val="23"/>
        </w:rPr>
        <w:t xml:space="preserve">serious </w:t>
      </w:r>
      <w:r w:rsidR="003A1FEB">
        <w:rPr>
          <w:rFonts w:ascii="Book Antiqua" w:hAnsi="Book Antiqua"/>
          <w:sz w:val="23"/>
          <w:szCs w:val="23"/>
        </w:rPr>
        <w:t xml:space="preserve">health and safety </w:t>
      </w:r>
      <w:r w:rsidR="00BB5492">
        <w:rPr>
          <w:rFonts w:ascii="Book Antiqua" w:hAnsi="Book Antiqua"/>
          <w:sz w:val="23"/>
          <w:szCs w:val="23"/>
        </w:rPr>
        <w:t>concerns</w:t>
      </w:r>
      <w:r w:rsidR="003A1FEB">
        <w:rPr>
          <w:rFonts w:ascii="Book Antiqua" w:hAnsi="Book Antiqua"/>
          <w:sz w:val="23"/>
          <w:szCs w:val="23"/>
        </w:rPr>
        <w:t>, in particular relating to</w:t>
      </w:r>
      <w:r w:rsidR="00BB5492">
        <w:rPr>
          <w:rFonts w:ascii="Book Antiqua" w:hAnsi="Book Antiqua"/>
          <w:sz w:val="23"/>
          <w:szCs w:val="23"/>
        </w:rPr>
        <w:t xml:space="preserve"> fire safety. </w:t>
      </w:r>
    </w:p>
    <w:p w14:paraId="60A399DB" w14:textId="27311125" w:rsidR="00B35164" w:rsidRPr="00C3428A" w:rsidRDefault="00B35164" w:rsidP="00563259">
      <w:pPr>
        <w:pStyle w:val="ListParagraph"/>
        <w:numPr>
          <w:ilvl w:val="0"/>
          <w:numId w:val="2"/>
        </w:numPr>
        <w:spacing w:line="360" w:lineRule="auto"/>
        <w:ind w:left="567" w:hanging="567"/>
        <w:contextualSpacing w:val="0"/>
        <w:jc w:val="both"/>
        <w:rPr>
          <w:rFonts w:ascii="Book Antiqua" w:hAnsi="Book Antiqua"/>
          <w:b/>
          <w:bCs/>
          <w:sz w:val="23"/>
          <w:szCs w:val="23"/>
          <w:u w:val="single"/>
        </w:rPr>
      </w:pPr>
      <w:r w:rsidRPr="00C3428A">
        <w:rPr>
          <w:rFonts w:ascii="Book Antiqua" w:hAnsi="Book Antiqua"/>
          <w:b/>
          <w:bCs/>
          <w:sz w:val="23"/>
          <w:szCs w:val="23"/>
          <w:u w:val="single"/>
        </w:rPr>
        <w:t>RELEVANT LEGAL PRINCIPLES</w:t>
      </w:r>
    </w:p>
    <w:p w14:paraId="3E0D1C9C" w14:textId="7A1A5CE2" w:rsidR="00B35164" w:rsidRDefault="00486364" w:rsidP="00624586">
      <w:pPr>
        <w:pStyle w:val="ListParagraph"/>
        <w:numPr>
          <w:ilvl w:val="0"/>
          <w:numId w:val="3"/>
        </w:numPr>
        <w:spacing w:line="360" w:lineRule="auto"/>
        <w:ind w:left="567" w:hanging="567"/>
        <w:contextualSpacing w:val="0"/>
        <w:jc w:val="both"/>
        <w:rPr>
          <w:rFonts w:ascii="Book Antiqua" w:hAnsi="Book Antiqua"/>
          <w:sz w:val="23"/>
          <w:szCs w:val="23"/>
        </w:rPr>
      </w:pPr>
      <w:r>
        <w:rPr>
          <w:rFonts w:ascii="Book Antiqua" w:hAnsi="Book Antiqua"/>
          <w:sz w:val="23"/>
          <w:szCs w:val="23"/>
        </w:rPr>
        <w:t xml:space="preserve">The law </w:t>
      </w:r>
      <w:r w:rsidR="0016102C">
        <w:rPr>
          <w:rFonts w:ascii="Book Antiqua" w:hAnsi="Book Antiqua"/>
          <w:sz w:val="23"/>
          <w:szCs w:val="23"/>
        </w:rPr>
        <w:t>in relation to Persons Unknown, who are newcomers (as in this case), has been resolved by</w:t>
      </w:r>
      <w:r w:rsidR="00F159B6" w:rsidRPr="00DA3347">
        <w:rPr>
          <w:rFonts w:ascii="Book Antiqua" w:hAnsi="Book Antiqua"/>
          <w:sz w:val="23"/>
          <w:szCs w:val="23"/>
        </w:rPr>
        <w:t xml:space="preserve"> the Supreme Court in </w:t>
      </w:r>
      <w:r w:rsidR="00F159B6" w:rsidRPr="00F159B6">
        <w:rPr>
          <w:rFonts w:ascii="Book Antiqua" w:hAnsi="Book Antiqua"/>
          <w:sz w:val="23"/>
          <w:szCs w:val="23"/>
          <w:u w:val="single"/>
        </w:rPr>
        <w:t>Wolverhampton CC</w:t>
      </w:r>
      <w:r w:rsidR="00F159B6" w:rsidRPr="00DA3347">
        <w:rPr>
          <w:rFonts w:ascii="Book Antiqua" w:hAnsi="Book Antiqua"/>
          <w:sz w:val="23"/>
          <w:szCs w:val="23"/>
        </w:rPr>
        <w:t xml:space="preserve">. </w:t>
      </w:r>
      <w:r w:rsidR="00F159B6" w:rsidRPr="0016102C">
        <w:rPr>
          <w:rFonts w:ascii="Book Antiqua" w:hAnsi="Book Antiqua"/>
          <w:sz w:val="23"/>
          <w:szCs w:val="23"/>
          <w:u w:val="single"/>
        </w:rPr>
        <w:t>Wolverhampton CC</w:t>
      </w:r>
      <w:r w:rsidR="00F159B6" w:rsidRPr="00DA3347">
        <w:rPr>
          <w:rFonts w:ascii="Book Antiqua" w:hAnsi="Book Antiqua"/>
          <w:sz w:val="23"/>
          <w:szCs w:val="23"/>
        </w:rPr>
        <w:t xml:space="preserve"> has now also been considered in detail in</w:t>
      </w:r>
      <w:r w:rsidR="0016102C">
        <w:rPr>
          <w:rFonts w:ascii="Book Antiqua" w:hAnsi="Book Antiqua"/>
          <w:sz w:val="23"/>
          <w:szCs w:val="23"/>
        </w:rPr>
        <w:t xml:space="preserve"> the protest context in a number of cases, in particular</w:t>
      </w:r>
      <w:r w:rsidR="00F159B6" w:rsidRPr="00DA3347">
        <w:rPr>
          <w:rFonts w:ascii="Book Antiqua" w:hAnsi="Book Antiqua"/>
          <w:sz w:val="23"/>
          <w:szCs w:val="23"/>
        </w:rPr>
        <w:t xml:space="preserve"> </w:t>
      </w:r>
      <w:r w:rsidR="00F159B6" w:rsidRPr="0016102C">
        <w:rPr>
          <w:rFonts w:ascii="Book Antiqua" w:hAnsi="Book Antiqua"/>
          <w:sz w:val="23"/>
          <w:szCs w:val="23"/>
          <w:u w:val="single"/>
        </w:rPr>
        <w:t>Valero Energy Ltd v Persons Unknown</w:t>
      </w:r>
      <w:r w:rsidR="00F159B6" w:rsidRPr="00DA3347">
        <w:rPr>
          <w:rFonts w:ascii="Book Antiqua" w:hAnsi="Book Antiqua"/>
          <w:i/>
          <w:iCs/>
          <w:sz w:val="23"/>
          <w:szCs w:val="23"/>
        </w:rPr>
        <w:t xml:space="preserve"> </w:t>
      </w:r>
      <w:r w:rsidR="00F159B6" w:rsidRPr="00DA3347">
        <w:rPr>
          <w:rFonts w:ascii="Book Antiqua" w:hAnsi="Book Antiqua"/>
          <w:sz w:val="23"/>
          <w:szCs w:val="23"/>
        </w:rPr>
        <w:t>[2024] EWHC 134 (KB) (“</w:t>
      </w:r>
      <w:r w:rsidR="00F159B6" w:rsidRPr="00AF457C">
        <w:rPr>
          <w:rFonts w:ascii="Book Antiqua" w:hAnsi="Book Antiqua"/>
          <w:b/>
          <w:bCs/>
          <w:sz w:val="23"/>
          <w:szCs w:val="23"/>
          <w:u w:val="single"/>
        </w:rPr>
        <w:t>Valero</w:t>
      </w:r>
      <w:r w:rsidR="00F159B6" w:rsidRPr="00DA3347">
        <w:rPr>
          <w:rFonts w:ascii="Book Antiqua" w:hAnsi="Book Antiqua"/>
          <w:sz w:val="23"/>
          <w:szCs w:val="23"/>
        </w:rPr>
        <w:t>”)</w:t>
      </w:r>
      <w:r w:rsidR="002F7BB0">
        <w:rPr>
          <w:rFonts w:ascii="Book Antiqua" w:hAnsi="Book Antiqua"/>
          <w:sz w:val="23"/>
          <w:szCs w:val="23"/>
        </w:rPr>
        <w:t xml:space="preserve"> </w:t>
      </w:r>
      <w:r w:rsidR="002F7BB0">
        <w:rPr>
          <w:rFonts w:ascii="Book Antiqua" w:hAnsi="Book Antiqua"/>
          <w:b/>
          <w:bCs/>
          <w:sz w:val="23"/>
          <w:szCs w:val="23"/>
        </w:rPr>
        <w:t>[AB/</w:t>
      </w:r>
      <w:r w:rsidR="00C14998">
        <w:rPr>
          <w:rFonts w:ascii="Book Antiqua" w:hAnsi="Book Antiqua"/>
          <w:b/>
          <w:bCs/>
          <w:sz w:val="23"/>
          <w:szCs w:val="23"/>
        </w:rPr>
        <w:t>7</w:t>
      </w:r>
      <w:r w:rsidR="002F7BB0">
        <w:rPr>
          <w:rFonts w:ascii="Book Antiqua" w:hAnsi="Book Antiqua"/>
          <w:b/>
          <w:bCs/>
          <w:sz w:val="23"/>
          <w:szCs w:val="23"/>
        </w:rPr>
        <w:t>/</w:t>
      </w:r>
      <w:r w:rsidR="00C14998">
        <w:rPr>
          <w:rFonts w:ascii="Book Antiqua" w:hAnsi="Book Antiqua"/>
          <w:b/>
          <w:bCs/>
          <w:sz w:val="23"/>
          <w:szCs w:val="23"/>
        </w:rPr>
        <w:t>207</w:t>
      </w:r>
      <w:r w:rsidR="002F7BB0">
        <w:rPr>
          <w:rFonts w:ascii="Book Antiqua" w:hAnsi="Book Antiqua"/>
          <w:b/>
          <w:bCs/>
          <w:sz w:val="23"/>
          <w:szCs w:val="23"/>
        </w:rPr>
        <w:t>]</w:t>
      </w:r>
      <w:r w:rsidR="003C2DAA">
        <w:rPr>
          <w:rFonts w:ascii="Book Antiqua" w:hAnsi="Book Antiqua"/>
          <w:sz w:val="23"/>
          <w:szCs w:val="23"/>
        </w:rPr>
        <w:t>.</w:t>
      </w:r>
      <w:r w:rsidR="00F159B6" w:rsidRPr="00DA3347">
        <w:rPr>
          <w:rFonts w:ascii="Book Antiqua" w:hAnsi="Book Antiqua"/>
          <w:sz w:val="23"/>
          <w:szCs w:val="23"/>
        </w:rPr>
        <w:t xml:space="preserve"> </w:t>
      </w:r>
      <w:r w:rsidR="003C2DAA">
        <w:rPr>
          <w:rFonts w:ascii="Book Antiqua" w:hAnsi="Book Antiqua"/>
          <w:sz w:val="23"/>
          <w:szCs w:val="23"/>
        </w:rPr>
        <w:t>I</w:t>
      </w:r>
      <w:r w:rsidR="00F159B6" w:rsidRPr="00DA3347">
        <w:rPr>
          <w:rFonts w:ascii="Book Antiqua" w:hAnsi="Book Antiqua"/>
          <w:sz w:val="23"/>
          <w:szCs w:val="23"/>
        </w:rPr>
        <w:t xml:space="preserve">n </w:t>
      </w:r>
      <w:r w:rsidR="003C2DAA">
        <w:rPr>
          <w:rFonts w:ascii="Book Antiqua" w:hAnsi="Book Antiqua"/>
          <w:sz w:val="23"/>
          <w:szCs w:val="23"/>
          <w:u w:val="single"/>
        </w:rPr>
        <w:t>Valero</w:t>
      </w:r>
      <w:r w:rsidR="003C2DAA">
        <w:rPr>
          <w:rFonts w:ascii="Book Antiqua" w:hAnsi="Book Antiqua"/>
          <w:sz w:val="23"/>
          <w:szCs w:val="23"/>
        </w:rPr>
        <w:t xml:space="preserve">, </w:t>
      </w:r>
      <w:r w:rsidR="00F159B6" w:rsidRPr="00DA3347">
        <w:rPr>
          <w:rFonts w:ascii="Book Antiqua" w:hAnsi="Book Antiqua"/>
          <w:sz w:val="23"/>
          <w:szCs w:val="23"/>
        </w:rPr>
        <w:t xml:space="preserve">Ritchie J set out a list of factors to be satisfied (albeit in the context of a summary judgment application). For a summary of the case law, see, generally, Y Vanderman, </w:t>
      </w:r>
      <w:r w:rsidR="00F159B6" w:rsidRPr="00024C08">
        <w:rPr>
          <w:rFonts w:ascii="Book Antiqua" w:hAnsi="Book Antiqua"/>
          <w:sz w:val="23"/>
          <w:szCs w:val="23"/>
          <w:u w:val="single"/>
        </w:rPr>
        <w:t>Manual on Protest Injunctions</w:t>
      </w:r>
      <w:r w:rsidR="00F159B6" w:rsidRPr="00DA3347">
        <w:rPr>
          <w:rFonts w:ascii="Book Antiqua" w:hAnsi="Book Antiqua"/>
          <w:i/>
          <w:iCs/>
          <w:sz w:val="23"/>
          <w:szCs w:val="23"/>
        </w:rPr>
        <w:t xml:space="preserve"> </w:t>
      </w:r>
      <w:r w:rsidR="00F159B6" w:rsidRPr="00DA3347">
        <w:rPr>
          <w:rFonts w:ascii="Book Antiqua" w:hAnsi="Book Antiqua"/>
          <w:sz w:val="23"/>
          <w:szCs w:val="23"/>
        </w:rPr>
        <w:t>(v.2, 2024), §§5.1-5.9</w:t>
      </w:r>
      <w:r w:rsidR="00C14998">
        <w:rPr>
          <w:rFonts w:ascii="Book Antiqua" w:hAnsi="Book Antiqua"/>
          <w:sz w:val="23"/>
          <w:szCs w:val="23"/>
        </w:rPr>
        <w:t xml:space="preserve"> </w:t>
      </w:r>
      <w:r w:rsidR="00C14998">
        <w:rPr>
          <w:rFonts w:ascii="Book Antiqua" w:hAnsi="Book Antiqua"/>
          <w:b/>
          <w:bCs/>
          <w:sz w:val="23"/>
          <w:szCs w:val="23"/>
        </w:rPr>
        <w:t>[AB/17/565]</w:t>
      </w:r>
      <w:r w:rsidR="00F159B6" w:rsidRPr="00DA3347">
        <w:rPr>
          <w:rFonts w:ascii="Book Antiqua" w:hAnsi="Book Antiqua"/>
          <w:sz w:val="23"/>
          <w:szCs w:val="23"/>
        </w:rPr>
        <w:t>.</w:t>
      </w:r>
    </w:p>
    <w:p w14:paraId="29613BA5" w14:textId="53CDCA99" w:rsidR="003C2DAA" w:rsidRDefault="00B36218" w:rsidP="00624586">
      <w:pPr>
        <w:pStyle w:val="ListParagraph"/>
        <w:numPr>
          <w:ilvl w:val="0"/>
          <w:numId w:val="3"/>
        </w:numPr>
        <w:spacing w:line="360" w:lineRule="auto"/>
        <w:ind w:left="567" w:hanging="567"/>
        <w:contextualSpacing w:val="0"/>
        <w:jc w:val="both"/>
        <w:rPr>
          <w:rFonts w:ascii="Book Antiqua" w:hAnsi="Book Antiqua"/>
          <w:sz w:val="23"/>
          <w:szCs w:val="23"/>
          <w:u w:val="single"/>
        </w:rPr>
      </w:pPr>
      <w:r>
        <w:rPr>
          <w:rFonts w:ascii="Book Antiqua" w:hAnsi="Book Antiqua"/>
          <w:sz w:val="23"/>
          <w:szCs w:val="23"/>
        </w:rPr>
        <w:t xml:space="preserve">The High Court recently </w:t>
      </w:r>
      <w:r w:rsidR="00D002BB">
        <w:rPr>
          <w:rFonts w:ascii="Book Antiqua" w:hAnsi="Book Antiqua"/>
          <w:sz w:val="23"/>
          <w:szCs w:val="23"/>
        </w:rPr>
        <w:t xml:space="preserve">granted precautionary injunctive relief to </w:t>
      </w:r>
      <w:r>
        <w:rPr>
          <w:rFonts w:ascii="Book Antiqua" w:hAnsi="Book Antiqua"/>
          <w:sz w:val="23"/>
          <w:szCs w:val="23"/>
        </w:rPr>
        <w:t xml:space="preserve">a university </w:t>
      </w:r>
      <w:r w:rsidR="00EE1412">
        <w:rPr>
          <w:rFonts w:ascii="Book Antiqua" w:hAnsi="Book Antiqua"/>
          <w:sz w:val="23"/>
          <w:szCs w:val="23"/>
        </w:rPr>
        <w:t>prohibiting direct action by</w:t>
      </w:r>
      <w:r>
        <w:rPr>
          <w:rFonts w:ascii="Book Antiqua" w:hAnsi="Book Antiqua"/>
          <w:sz w:val="23"/>
          <w:szCs w:val="23"/>
        </w:rPr>
        <w:t xml:space="preserve"> student protestors</w:t>
      </w:r>
      <w:r w:rsidR="00B74E52">
        <w:rPr>
          <w:rFonts w:ascii="Book Antiqua" w:hAnsi="Book Antiqua"/>
          <w:sz w:val="23"/>
          <w:szCs w:val="23"/>
        </w:rPr>
        <w:t xml:space="preserve"> (including Persons Unknown)</w:t>
      </w:r>
      <w:r w:rsidR="00EE1412">
        <w:rPr>
          <w:rFonts w:ascii="Book Antiqua" w:hAnsi="Book Antiqua"/>
          <w:sz w:val="23"/>
          <w:szCs w:val="23"/>
        </w:rPr>
        <w:t xml:space="preserve">: </w:t>
      </w:r>
      <w:r>
        <w:rPr>
          <w:rFonts w:ascii="Book Antiqua" w:hAnsi="Book Antiqua"/>
          <w:sz w:val="23"/>
          <w:szCs w:val="23"/>
          <w:u w:val="single"/>
        </w:rPr>
        <w:t>University of London v Persons Unknown</w:t>
      </w:r>
      <w:r w:rsidRPr="00B36218">
        <w:rPr>
          <w:rFonts w:ascii="Book Antiqua" w:hAnsi="Book Antiqua"/>
          <w:sz w:val="23"/>
          <w:szCs w:val="23"/>
        </w:rPr>
        <w:t xml:space="preserve"> </w:t>
      </w:r>
      <w:r>
        <w:rPr>
          <w:rFonts w:ascii="Book Antiqua" w:hAnsi="Book Antiqua"/>
          <w:sz w:val="23"/>
          <w:szCs w:val="23"/>
        </w:rPr>
        <w:t>[2024] EWHC 2895 (Ch)</w:t>
      </w:r>
      <w:r w:rsidR="00DD7FDB">
        <w:rPr>
          <w:rFonts w:ascii="Book Antiqua" w:hAnsi="Book Antiqua"/>
          <w:sz w:val="23"/>
          <w:szCs w:val="23"/>
        </w:rPr>
        <w:t xml:space="preserve"> (“</w:t>
      </w:r>
      <w:r w:rsidR="00DD7FDB">
        <w:rPr>
          <w:rFonts w:ascii="Book Antiqua" w:hAnsi="Book Antiqua"/>
          <w:b/>
          <w:bCs/>
          <w:sz w:val="23"/>
          <w:szCs w:val="23"/>
          <w:u w:val="single"/>
        </w:rPr>
        <w:t>UoL</w:t>
      </w:r>
      <w:r w:rsidR="00DD7FDB">
        <w:rPr>
          <w:rFonts w:ascii="Book Antiqua" w:hAnsi="Book Antiqua"/>
          <w:sz w:val="23"/>
          <w:szCs w:val="23"/>
        </w:rPr>
        <w:t>”)</w:t>
      </w:r>
      <w:r>
        <w:rPr>
          <w:rFonts w:ascii="Book Antiqua" w:hAnsi="Book Antiqua"/>
          <w:sz w:val="23"/>
          <w:szCs w:val="23"/>
        </w:rPr>
        <w:t>.</w:t>
      </w:r>
      <w:r w:rsidR="00441972">
        <w:rPr>
          <w:rFonts w:ascii="Book Antiqua" w:hAnsi="Book Antiqua"/>
          <w:sz w:val="23"/>
          <w:szCs w:val="23"/>
        </w:rPr>
        <w:t xml:space="preserve"> In </w:t>
      </w:r>
      <w:r w:rsidR="00EE1412">
        <w:rPr>
          <w:rFonts w:ascii="Book Antiqua" w:hAnsi="Book Antiqua"/>
          <w:sz w:val="23"/>
          <w:szCs w:val="23"/>
        </w:rPr>
        <w:t>doing so</w:t>
      </w:r>
      <w:r w:rsidR="00441972">
        <w:rPr>
          <w:rFonts w:ascii="Book Antiqua" w:hAnsi="Book Antiqua"/>
          <w:sz w:val="23"/>
          <w:szCs w:val="23"/>
        </w:rPr>
        <w:t>, Thompsell J</w:t>
      </w:r>
      <w:r w:rsidR="00263FBE">
        <w:rPr>
          <w:rFonts w:ascii="Book Antiqua" w:hAnsi="Book Antiqua"/>
          <w:sz w:val="23"/>
          <w:szCs w:val="23"/>
        </w:rPr>
        <w:t xml:space="preserve"> </w:t>
      </w:r>
      <w:r w:rsidR="00EE1412">
        <w:rPr>
          <w:rFonts w:ascii="Book Antiqua" w:hAnsi="Book Antiqua"/>
          <w:sz w:val="23"/>
          <w:szCs w:val="23"/>
        </w:rPr>
        <w:t xml:space="preserve">applied the principles and tests set out in </w:t>
      </w:r>
      <w:r w:rsidR="00EE1412">
        <w:rPr>
          <w:rFonts w:ascii="Book Antiqua" w:hAnsi="Book Antiqua"/>
          <w:sz w:val="23"/>
          <w:szCs w:val="23"/>
          <w:u w:val="single"/>
        </w:rPr>
        <w:t>Wolverhampton CC</w:t>
      </w:r>
      <w:r w:rsidR="00EE1412">
        <w:rPr>
          <w:rFonts w:ascii="Book Antiqua" w:hAnsi="Book Antiqua"/>
          <w:sz w:val="23"/>
          <w:szCs w:val="23"/>
        </w:rPr>
        <w:t xml:space="preserve"> and </w:t>
      </w:r>
      <w:r w:rsidR="00EE1412">
        <w:rPr>
          <w:rFonts w:ascii="Book Antiqua" w:hAnsi="Book Antiqua"/>
          <w:sz w:val="23"/>
          <w:szCs w:val="23"/>
          <w:u w:val="single"/>
        </w:rPr>
        <w:t>Valero</w:t>
      </w:r>
      <w:r w:rsidR="00FD50FE">
        <w:rPr>
          <w:rFonts w:ascii="Book Antiqua" w:hAnsi="Book Antiqua"/>
          <w:sz w:val="23"/>
          <w:szCs w:val="23"/>
        </w:rPr>
        <w:t xml:space="preserve">: </w:t>
      </w:r>
      <w:r w:rsidR="00DD7FDB">
        <w:rPr>
          <w:rFonts w:ascii="Book Antiqua" w:hAnsi="Book Antiqua"/>
          <w:sz w:val="23"/>
          <w:szCs w:val="23"/>
          <w:u w:val="single"/>
        </w:rPr>
        <w:t>UoL</w:t>
      </w:r>
      <w:r w:rsidR="00DD7FDB">
        <w:rPr>
          <w:rFonts w:ascii="Book Antiqua" w:hAnsi="Book Antiqua"/>
          <w:sz w:val="23"/>
          <w:szCs w:val="23"/>
        </w:rPr>
        <w:t>,</w:t>
      </w:r>
      <w:r w:rsidR="00FD50FE">
        <w:rPr>
          <w:rFonts w:ascii="Book Antiqua" w:hAnsi="Book Antiqua"/>
          <w:sz w:val="23"/>
          <w:szCs w:val="23"/>
        </w:rPr>
        <w:t xml:space="preserve"> </w:t>
      </w:r>
      <w:r w:rsidR="00DD7FDB">
        <w:rPr>
          <w:rFonts w:ascii="Book Antiqua" w:hAnsi="Book Antiqua"/>
          <w:sz w:val="23"/>
          <w:szCs w:val="23"/>
        </w:rPr>
        <w:t>§§</w:t>
      </w:r>
      <w:r w:rsidR="00930CED">
        <w:rPr>
          <w:rFonts w:ascii="Book Antiqua" w:hAnsi="Book Antiqua"/>
          <w:sz w:val="23"/>
          <w:szCs w:val="23"/>
        </w:rPr>
        <w:t>16-</w:t>
      </w:r>
      <w:r w:rsidR="00DD7FDB">
        <w:rPr>
          <w:rFonts w:ascii="Book Antiqua" w:hAnsi="Book Antiqua"/>
          <w:sz w:val="23"/>
          <w:szCs w:val="23"/>
        </w:rPr>
        <w:t>53</w:t>
      </w:r>
      <w:r w:rsidR="00C14998">
        <w:rPr>
          <w:rFonts w:ascii="Book Antiqua" w:hAnsi="Book Antiqua"/>
          <w:sz w:val="23"/>
          <w:szCs w:val="23"/>
        </w:rPr>
        <w:t xml:space="preserve"> </w:t>
      </w:r>
      <w:r w:rsidR="00C14998">
        <w:rPr>
          <w:rFonts w:ascii="Book Antiqua" w:hAnsi="Book Antiqua"/>
          <w:b/>
          <w:bCs/>
          <w:sz w:val="23"/>
          <w:szCs w:val="23"/>
        </w:rPr>
        <w:t>[AB/14/4</w:t>
      </w:r>
      <w:r w:rsidR="002A4FFE">
        <w:rPr>
          <w:rFonts w:ascii="Book Antiqua" w:hAnsi="Book Antiqua"/>
          <w:b/>
          <w:bCs/>
          <w:sz w:val="23"/>
          <w:szCs w:val="23"/>
        </w:rPr>
        <w:t>10</w:t>
      </w:r>
      <w:r w:rsidR="00C14998">
        <w:rPr>
          <w:rFonts w:ascii="Book Antiqua" w:hAnsi="Book Antiqua"/>
          <w:b/>
          <w:bCs/>
          <w:sz w:val="23"/>
          <w:szCs w:val="23"/>
        </w:rPr>
        <w:t>]</w:t>
      </w:r>
      <w:r w:rsidR="00DD7FDB">
        <w:rPr>
          <w:rFonts w:ascii="Book Antiqua" w:hAnsi="Book Antiqua"/>
          <w:sz w:val="23"/>
          <w:szCs w:val="23"/>
        </w:rPr>
        <w:t>.</w:t>
      </w:r>
      <w:r w:rsidR="00930CED">
        <w:rPr>
          <w:rFonts w:ascii="Book Antiqua" w:hAnsi="Book Antiqua"/>
          <w:sz w:val="23"/>
          <w:szCs w:val="23"/>
        </w:rPr>
        <w:t xml:space="preserve"> </w:t>
      </w:r>
      <w:r w:rsidR="003C2DAA" w:rsidRPr="000B73FC">
        <w:rPr>
          <w:rFonts w:ascii="Book Antiqua" w:hAnsi="Book Antiqua"/>
          <w:sz w:val="23"/>
          <w:szCs w:val="23"/>
          <w:u w:val="single"/>
        </w:rPr>
        <w:t xml:space="preserve"> </w:t>
      </w:r>
    </w:p>
    <w:p w14:paraId="496730FC" w14:textId="65CB0087" w:rsidR="009D384B" w:rsidRPr="008A67ED" w:rsidRDefault="009D384B" w:rsidP="008A67ED">
      <w:pPr>
        <w:pStyle w:val="ListParagraph"/>
        <w:numPr>
          <w:ilvl w:val="0"/>
          <w:numId w:val="3"/>
        </w:numPr>
        <w:spacing w:line="360" w:lineRule="auto"/>
        <w:ind w:left="567" w:hanging="567"/>
        <w:contextualSpacing w:val="0"/>
        <w:jc w:val="both"/>
        <w:rPr>
          <w:rFonts w:ascii="Book Antiqua" w:hAnsi="Book Antiqua"/>
          <w:sz w:val="23"/>
          <w:szCs w:val="23"/>
          <w:u w:val="single"/>
        </w:rPr>
      </w:pPr>
      <w:r>
        <w:rPr>
          <w:rFonts w:ascii="Book Antiqua" w:hAnsi="Book Antiqua"/>
          <w:sz w:val="23"/>
          <w:szCs w:val="23"/>
        </w:rPr>
        <w:t xml:space="preserve">Very recently, Nicklin J in </w:t>
      </w:r>
      <w:r w:rsidR="007C7CBF">
        <w:rPr>
          <w:rFonts w:ascii="Book Antiqua" w:hAnsi="Book Antiqua"/>
          <w:sz w:val="23"/>
          <w:szCs w:val="23"/>
          <w:u w:val="single"/>
        </w:rPr>
        <w:t xml:space="preserve">MBR Acres </w:t>
      </w:r>
      <w:r w:rsidR="007C0643">
        <w:rPr>
          <w:rFonts w:ascii="Book Antiqua" w:hAnsi="Book Antiqua"/>
          <w:sz w:val="23"/>
          <w:szCs w:val="23"/>
          <w:u w:val="single"/>
        </w:rPr>
        <w:t>Ltd v Curtin</w:t>
      </w:r>
      <w:r w:rsidR="007C0643">
        <w:rPr>
          <w:rFonts w:ascii="Book Antiqua" w:hAnsi="Book Antiqua"/>
          <w:sz w:val="23"/>
          <w:szCs w:val="23"/>
        </w:rPr>
        <w:t xml:space="preserve"> [2025] EWHC 331 (19 February 2025)</w:t>
      </w:r>
      <w:r w:rsidR="00962CD1">
        <w:rPr>
          <w:rFonts w:ascii="Book Antiqua" w:hAnsi="Book Antiqua"/>
          <w:sz w:val="23"/>
          <w:szCs w:val="23"/>
        </w:rPr>
        <w:t xml:space="preserve"> (“</w:t>
      </w:r>
      <w:r w:rsidR="00962CD1">
        <w:rPr>
          <w:rFonts w:ascii="Book Antiqua" w:hAnsi="Book Antiqua"/>
          <w:b/>
          <w:bCs/>
          <w:sz w:val="23"/>
          <w:szCs w:val="23"/>
          <w:u w:val="single"/>
        </w:rPr>
        <w:t>MBR Acres</w:t>
      </w:r>
      <w:r w:rsidR="00962CD1">
        <w:rPr>
          <w:rFonts w:ascii="Book Antiqua" w:hAnsi="Book Antiqua"/>
          <w:sz w:val="23"/>
          <w:szCs w:val="23"/>
        </w:rPr>
        <w:t>”)</w:t>
      </w:r>
      <w:r w:rsidR="007C0643">
        <w:rPr>
          <w:rFonts w:ascii="Book Antiqua" w:hAnsi="Book Antiqua"/>
          <w:sz w:val="23"/>
          <w:szCs w:val="23"/>
        </w:rPr>
        <w:t xml:space="preserve"> </w:t>
      </w:r>
      <w:r w:rsidR="001E2E3C">
        <w:rPr>
          <w:rFonts w:ascii="Book Antiqua" w:hAnsi="Book Antiqua"/>
          <w:sz w:val="23"/>
          <w:szCs w:val="23"/>
        </w:rPr>
        <w:t xml:space="preserve">after citing </w:t>
      </w:r>
      <w:r w:rsidR="001E2E3C">
        <w:rPr>
          <w:rFonts w:ascii="Book Antiqua" w:hAnsi="Book Antiqua"/>
          <w:sz w:val="23"/>
          <w:szCs w:val="23"/>
          <w:u w:val="single"/>
        </w:rPr>
        <w:t>Valero</w:t>
      </w:r>
      <w:r w:rsidR="00762605">
        <w:rPr>
          <w:rFonts w:ascii="Book Antiqua" w:hAnsi="Book Antiqua"/>
          <w:sz w:val="23"/>
          <w:szCs w:val="23"/>
        </w:rPr>
        <w:t xml:space="preserve">, considered the description </w:t>
      </w:r>
      <w:r w:rsidR="00736729">
        <w:rPr>
          <w:rFonts w:ascii="Book Antiqua" w:hAnsi="Book Antiqua"/>
          <w:sz w:val="23"/>
          <w:szCs w:val="23"/>
        </w:rPr>
        <w:t>of those who are to be restrained by a ‘newcomer’ injunction</w:t>
      </w:r>
      <w:r w:rsidR="001A7CBD">
        <w:rPr>
          <w:rFonts w:ascii="Book Antiqua" w:hAnsi="Book Antiqua"/>
          <w:sz w:val="23"/>
          <w:szCs w:val="23"/>
        </w:rPr>
        <w:t xml:space="preserve"> </w:t>
      </w:r>
      <w:r w:rsidR="0040760A">
        <w:rPr>
          <w:rFonts w:ascii="Book Antiqua" w:hAnsi="Book Antiqua"/>
          <w:sz w:val="23"/>
          <w:szCs w:val="23"/>
        </w:rPr>
        <w:t xml:space="preserve">following </w:t>
      </w:r>
      <w:r w:rsidR="001A7CBD">
        <w:rPr>
          <w:rFonts w:ascii="Book Antiqua" w:hAnsi="Book Antiqua"/>
          <w:sz w:val="23"/>
          <w:szCs w:val="23"/>
          <w:u w:val="single"/>
        </w:rPr>
        <w:t>Wolverhampton</w:t>
      </w:r>
      <w:r w:rsidR="00670701">
        <w:rPr>
          <w:rFonts w:ascii="Book Antiqua" w:hAnsi="Book Antiqua"/>
          <w:sz w:val="23"/>
          <w:szCs w:val="23"/>
          <w:u w:val="single"/>
        </w:rPr>
        <w:t xml:space="preserve"> CC</w:t>
      </w:r>
      <w:r w:rsidR="0040760A">
        <w:rPr>
          <w:rFonts w:ascii="Book Antiqua" w:hAnsi="Book Antiqua"/>
          <w:sz w:val="23"/>
          <w:szCs w:val="23"/>
          <w:u w:val="single"/>
        </w:rPr>
        <w:t xml:space="preserve"> </w:t>
      </w:r>
      <w:r w:rsidR="0040760A">
        <w:rPr>
          <w:rFonts w:ascii="Book Antiqua" w:hAnsi="Book Antiqua"/>
          <w:sz w:val="23"/>
          <w:szCs w:val="23"/>
        </w:rPr>
        <w:t>and held that</w:t>
      </w:r>
      <w:r w:rsidR="00B5258F">
        <w:rPr>
          <w:rFonts w:ascii="Book Antiqua" w:hAnsi="Book Antiqua"/>
          <w:sz w:val="23"/>
          <w:szCs w:val="23"/>
        </w:rPr>
        <w:t xml:space="preserve"> it was “no longer necessary, nor appropriate</w:t>
      </w:r>
      <w:r w:rsidR="00C60CB0">
        <w:rPr>
          <w:rFonts w:ascii="Book Antiqua" w:hAnsi="Book Antiqua"/>
          <w:sz w:val="23"/>
          <w:szCs w:val="23"/>
        </w:rPr>
        <w:t>” to restrain particular categories of defendant</w:t>
      </w:r>
      <w:r w:rsidR="008A67ED">
        <w:rPr>
          <w:rFonts w:ascii="Book Antiqua" w:hAnsi="Book Antiqua"/>
          <w:sz w:val="23"/>
          <w:szCs w:val="23"/>
        </w:rPr>
        <w:t>s</w:t>
      </w:r>
      <w:r w:rsidR="00B5258F">
        <w:rPr>
          <w:rFonts w:ascii="Book Antiqua" w:hAnsi="Book Antiqua"/>
          <w:sz w:val="23"/>
          <w:szCs w:val="23"/>
        </w:rPr>
        <w:t xml:space="preserve"> for </w:t>
      </w:r>
      <w:r w:rsidR="00B5258F">
        <w:rPr>
          <w:rFonts w:ascii="Book Antiqua" w:hAnsi="Book Antiqua"/>
          <w:i/>
          <w:iCs/>
          <w:sz w:val="23"/>
          <w:szCs w:val="23"/>
        </w:rPr>
        <w:t xml:space="preserve">contra mundum </w:t>
      </w:r>
      <w:r w:rsidR="00C60CB0">
        <w:rPr>
          <w:rFonts w:ascii="Book Antiqua" w:hAnsi="Book Antiqua"/>
          <w:sz w:val="23"/>
          <w:szCs w:val="23"/>
        </w:rPr>
        <w:t>‘newcomer’ injunctions</w:t>
      </w:r>
      <w:r w:rsidR="00AA277D">
        <w:rPr>
          <w:rFonts w:ascii="Book Antiqua" w:hAnsi="Book Antiqua"/>
          <w:sz w:val="23"/>
          <w:szCs w:val="23"/>
        </w:rPr>
        <w:t xml:space="preserve">. </w:t>
      </w:r>
      <w:r w:rsidR="007B3E2C">
        <w:rPr>
          <w:rFonts w:ascii="Book Antiqua" w:hAnsi="Book Antiqua"/>
          <w:sz w:val="23"/>
          <w:szCs w:val="23"/>
        </w:rPr>
        <w:t xml:space="preserve">On the basis that these were truly </w:t>
      </w:r>
      <w:r w:rsidR="007B3E2C">
        <w:rPr>
          <w:rFonts w:ascii="Book Antiqua" w:hAnsi="Book Antiqua"/>
          <w:i/>
          <w:iCs/>
          <w:sz w:val="23"/>
          <w:szCs w:val="23"/>
        </w:rPr>
        <w:t xml:space="preserve">contra mundum </w:t>
      </w:r>
      <w:r w:rsidR="007B3E2C">
        <w:rPr>
          <w:rFonts w:ascii="Book Antiqua" w:hAnsi="Book Antiqua"/>
          <w:sz w:val="23"/>
          <w:szCs w:val="23"/>
        </w:rPr>
        <w:t xml:space="preserve">orders, </w:t>
      </w:r>
      <w:r w:rsidR="0070103A">
        <w:rPr>
          <w:rFonts w:ascii="Book Antiqua" w:hAnsi="Book Antiqua"/>
          <w:sz w:val="23"/>
          <w:szCs w:val="23"/>
        </w:rPr>
        <w:t>he found that</w:t>
      </w:r>
      <w:r w:rsidR="00AA277D">
        <w:rPr>
          <w:rFonts w:ascii="Book Antiqua" w:hAnsi="Book Antiqua"/>
          <w:sz w:val="23"/>
          <w:szCs w:val="23"/>
        </w:rPr>
        <w:t xml:space="preserve"> Persons Unknown </w:t>
      </w:r>
      <w:r w:rsidR="0070103A">
        <w:rPr>
          <w:rFonts w:ascii="Book Antiqua" w:hAnsi="Book Antiqua"/>
          <w:sz w:val="23"/>
          <w:szCs w:val="23"/>
        </w:rPr>
        <w:t xml:space="preserve">did not need to be, and ought </w:t>
      </w:r>
      <w:r w:rsidR="001A550F">
        <w:rPr>
          <w:rFonts w:ascii="Book Antiqua" w:hAnsi="Book Antiqua"/>
          <w:sz w:val="23"/>
          <w:szCs w:val="23"/>
        </w:rPr>
        <w:t xml:space="preserve">not </w:t>
      </w:r>
      <w:r w:rsidR="0070103A">
        <w:rPr>
          <w:rFonts w:ascii="Book Antiqua" w:hAnsi="Book Antiqua"/>
          <w:sz w:val="23"/>
          <w:szCs w:val="23"/>
        </w:rPr>
        <w:t>to be</w:t>
      </w:r>
      <w:r w:rsidR="0067650F">
        <w:rPr>
          <w:rFonts w:ascii="Book Antiqua" w:hAnsi="Book Antiqua"/>
          <w:sz w:val="23"/>
          <w:szCs w:val="23"/>
        </w:rPr>
        <w:t xml:space="preserve">, defined </w:t>
      </w:r>
      <w:r w:rsidR="00FE3E46">
        <w:rPr>
          <w:rFonts w:ascii="Book Antiqua" w:hAnsi="Book Antiqua"/>
          <w:sz w:val="23"/>
          <w:szCs w:val="23"/>
        </w:rPr>
        <w:t>in any way</w:t>
      </w:r>
      <w:r w:rsidR="003972B3">
        <w:rPr>
          <w:rFonts w:ascii="Book Antiqua" w:hAnsi="Book Antiqua"/>
          <w:sz w:val="23"/>
          <w:szCs w:val="23"/>
        </w:rPr>
        <w:t>:</w:t>
      </w:r>
      <w:r w:rsidR="00FE3E46">
        <w:rPr>
          <w:rFonts w:ascii="Book Antiqua" w:hAnsi="Book Antiqua"/>
          <w:sz w:val="23"/>
          <w:szCs w:val="23"/>
        </w:rPr>
        <w:t xml:space="preserve"> </w:t>
      </w:r>
      <w:r w:rsidR="003972B3">
        <w:rPr>
          <w:rFonts w:ascii="Book Antiqua" w:hAnsi="Book Antiqua"/>
          <w:sz w:val="23"/>
          <w:szCs w:val="23"/>
        </w:rPr>
        <w:t>§§</w:t>
      </w:r>
      <w:r w:rsidR="00FE3E46">
        <w:rPr>
          <w:rFonts w:ascii="Book Antiqua" w:hAnsi="Book Antiqua"/>
          <w:sz w:val="23"/>
          <w:szCs w:val="23"/>
        </w:rPr>
        <w:t>356</w:t>
      </w:r>
      <w:r w:rsidR="008A67ED">
        <w:rPr>
          <w:rFonts w:ascii="Book Antiqua" w:hAnsi="Book Antiqua"/>
          <w:sz w:val="23"/>
          <w:szCs w:val="23"/>
        </w:rPr>
        <w:t xml:space="preserve">, 360 </w:t>
      </w:r>
      <w:r w:rsidR="00160659" w:rsidRPr="008A67ED">
        <w:rPr>
          <w:rFonts w:ascii="Book Antiqua" w:hAnsi="Book Antiqua"/>
          <w:sz w:val="23"/>
          <w:szCs w:val="23"/>
        </w:rPr>
        <w:t>and</w:t>
      </w:r>
      <w:r w:rsidR="00A0675A" w:rsidRPr="008A67ED">
        <w:rPr>
          <w:rFonts w:ascii="Book Antiqua" w:hAnsi="Book Antiqua"/>
          <w:sz w:val="23"/>
          <w:szCs w:val="23"/>
        </w:rPr>
        <w:t xml:space="preserve"> 362</w:t>
      </w:r>
      <w:r w:rsidR="002A4FFE" w:rsidRPr="008A67ED">
        <w:rPr>
          <w:rFonts w:ascii="Book Antiqua" w:hAnsi="Book Antiqua"/>
          <w:sz w:val="23"/>
          <w:szCs w:val="23"/>
        </w:rPr>
        <w:t xml:space="preserve"> </w:t>
      </w:r>
      <w:r w:rsidR="002A4FFE" w:rsidRPr="008A67ED">
        <w:rPr>
          <w:rFonts w:ascii="Book Antiqua" w:hAnsi="Book Antiqua"/>
          <w:b/>
          <w:bCs/>
          <w:sz w:val="23"/>
          <w:szCs w:val="23"/>
        </w:rPr>
        <w:t>[AB/15/</w:t>
      </w:r>
      <w:r w:rsidR="0063749C" w:rsidRPr="008A67ED">
        <w:rPr>
          <w:rFonts w:ascii="Book Antiqua" w:hAnsi="Book Antiqua"/>
          <w:b/>
          <w:bCs/>
          <w:sz w:val="23"/>
          <w:szCs w:val="23"/>
        </w:rPr>
        <w:t>508</w:t>
      </w:r>
      <w:r w:rsidR="002A4FFE" w:rsidRPr="008A67ED">
        <w:rPr>
          <w:rFonts w:ascii="Book Antiqua" w:hAnsi="Book Antiqua"/>
          <w:b/>
          <w:bCs/>
          <w:sz w:val="23"/>
          <w:szCs w:val="23"/>
        </w:rPr>
        <w:t>]</w:t>
      </w:r>
      <w:r w:rsidR="001513C7" w:rsidRPr="008A67ED">
        <w:rPr>
          <w:rFonts w:ascii="Book Antiqua" w:hAnsi="Book Antiqua"/>
          <w:sz w:val="23"/>
          <w:szCs w:val="23"/>
        </w:rPr>
        <w:t xml:space="preserve">. </w:t>
      </w:r>
      <w:r w:rsidR="00CE65AD">
        <w:rPr>
          <w:rFonts w:ascii="Book Antiqua" w:hAnsi="Book Antiqua"/>
          <w:sz w:val="23"/>
          <w:szCs w:val="23"/>
        </w:rPr>
        <w:t>In his judgment, “</w:t>
      </w:r>
      <w:r w:rsidR="00CE65AD" w:rsidRPr="00E11AC3">
        <w:rPr>
          <w:rFonts w:ascii="Book Antiqua" w:hAnsi="Book Antiqua"/>
          <w:i/>
          <w:iCs/>
          <w:sz w:val="23"/>
          <w:szCs w:val="23"/>
        </w:rPr>
        <w:t xml:space="preserve">one benefit of the </w:t>
      </w:r>
      <w:r w:rsidR="00CE65AD" w:rsidRPr="00E11AC3">
        <w:rPr>
          <w:rFonts w:ascii="Book Antiqua" w:hAnsi="Book Antiqua"/>
          <w:b/>
          <w:bCs/>
          <w:i/>
          <w:iCs/>
          <w:sz w:val="23"/>
          <w:szCs w:val="23"/>
        </w:rPr>
        <w:t>Wolverhampton</w:t>
      </w:r>
      <w:r w:rsidR="00CE65AD" w:rsidRPr="00E11AC3">
        <w:rPr>
          <w:rFonts w:ascii="Book Antiqua" w:hAnsi="Book Antiqua"/>
          <w:i/>
          <w:iCs/>
          <w:sz w:val="23"/>
          <w:szCs w:val="23"/>
        </w:rPr>
        <w:t xml:space="preserve"> decision is that the form of the injunction order, if granted, can be much simplified. The experience that I have gained in this case suggests that, if there is an opportunity to simplify injunction orders directed at those who are not parties to the proceedings, it should be grasped</w:t>
      </w:r>
      <w:r w:rsidR="00F13C91">
        <w:rPr>
          <w:rFonts w:ascii="Book Antiqua" w:hAnsi="Book Antiqua"/>
          <w:sz w:val="23"/>
          <w:szCs w:val="23"/>
        </w:rPr>
        <w:t>”</w:t>
      </w:r>
      <w:r w:rsidR="00CE65AD" w:rsidRPr="00CE65AD">
        <w:rPr>
          <w:rFonts w:ascii="Book Antiqua" w:hAnsi="Book Antiqua"/>
          <w:sz w:val="23"/>
          <w:szCs w:val="23"/>
        </w:rPr>
        <w:t xml:space="preserve">. </w:t>
      </w:r>
      <w:r w:rsidR="00FF01D2" w:rsidRPr="008A67ED">
        <w:rPr>
          <w:rFonts w:ascii="Book Antiqua" w:hAnsi="Book Antiqua"/>
          <w:sz w:val="23"/>
          <w:szCs w:val="23"/>
        </w:rPr>
        <w:t xml:space="preserve">The </w:t>
      </w:r>
      <w:r w:rsidR="00FF01D2" w:rsidRPr="008A67ED">
        <w:rPr>
          <w:rFonts w:ascii="Book Antiqua" w:hAnsi="Book Antiqua"/>
          <w:i/>
          <w:iCs/>
          <w:sz w:val="23"/>
          <w:szCs w:val="23"/>
        </w:rPr>
        <w:t>quid pro quo</w:t>
      </w:r>
      <w:r w:rsidR="00FF01D2" w:rsidRPr="008A67ED">
        <w:rPr>
          <w:rFonts w:ascii="Book Antiqua" w:hAnsi="Book Antiqua"/>
          <w:sz w:val="23"/>
          <w:szCs w:val="23"/>
        </w:rPr>
        <w:t xml:space="preserve"> appears to have</w:t>
      </w:r>
      <w:r w:rsidR="00A70DD8" w:rsidRPr="008A67ED">
        <w:rPr>
          <w:rFonts w:ascii="Book Antiqua" w:hAnsi="Book Antiqua"/>
          <w:sz w:val="23"/>
          <w:szCs w:val="23"/>
        </w:rPr>
        <w:t xml:space="preserve"> been that</w:t>
      </w:r>
      <w:r w:rsidR="00872117" w:rsidRPr="008A67ED">
        <w:rPr>
          <w:rFonts w:ascii="Book Antiqua" w:hAnsi="Book Antiqua"/>
          <w:sz w:val="23"/>
          <w:szCs w:val="23"/>
        </w:rPr>
        <w:t xml:space="preserve"> permission of the Court was required in order to bring a contempt application</w:t>
      </w:r>
      <w:r w:rsidR="004853E6">
        <w:rPr>
          <w:rFonts w:ascii="Book Antiqua" w:hAnsi="Book Antiqua"/>
          <w:sz w:val="23"/>
          <w:szCs w:val="23"/>
        </w:rPr>
        <w:t xml:space="preserve"> (see</w:t>
      </w:r>
      <w:r w:rsidR="009C1BCA">
        <w:rPr>
          <w:rFonts w:ascii="Book Antiqua" w:hAnsi="Book Antiqua"/>
          <w:sz w:val="23"/>
          <w:szCs w:val="23"/>
        </w:rPr>
        <w:t xml:space="preserve"> §48 [</w:t>
      </w:r>
      <w:r w:rsidR="009C1BCA">
        <w:rPr>
          <w:rFonts w:ascii="Book Antiqua" w:hAnsi="Book Antiqua"/>
          <w:b/>
          <w:bCs/>
          <w:sz w:val="23"/>
          <w:szCs w:val="23"/>
        </w:rPr>
        <w:t>AB/15/</w:t>
      </w:r>
      <w:r w:rsidR="00656AE3">
        <w:rPr>
          <w:rFonts w:ascii="Book Antiqua" w:hAnsi="Book Antiqua"/>
          <w:b/>
          <w:bCs/>
          <w:sz w:val="23"/>
          <w:szCs w:val="23"/>
        </w:rPr>
        <w:t xml:space="preserve">430]; </w:t>
      </w:r>
      <w:r w:rsidR="00656AE3">
        <w:rPr>
          <w:rFonts w:ascii="Book Antiqua" w:hAnsi="Book Antiqua"/>
          <w:sz w:val="23"/>
          <w:szCs w:val="23"/>
        </w:rPr>
        <w:t>and</w:t>
      </w:r>
      <w:r w:rsidR="00912D66">
        <w:rPr>
          <w:rFonts w:ascii="Book Antiqua" w:hAnsi="Book Antiqua"/>
          <w:sz w:val="23"/>
          <w:szCs w:val="23"/>
        </w:rPr>
        <w:t xml:space="preserve"> </w:t>
      </w:r>
      <w:r w:rsidR="00656AE3">
        <w:rPr>
          <w:rFonts w:ascii="Book Antiqua" w:hAnsi="Book Antiqua"/>
          <w:sz w:val="23"/>
          <w:szCs w:val="23"/>
        </w:rPr>
        <w:t>order</w:t>
      </w:r>
      <w:r w:rsidR="00912D66">
        <w:rPr>
          <w:rFonts w:ascii="Book Antiqua" w:hAnsi="Book Antiqua"/>
          <w:sz w:val="23"/>
          <w:szCs w:val="23"/>
        </w:rPr>
        <w:t xml:space="preserve"> in </w:t>
      </w:r>
      <w:r w:rsidR="00912D66">
        <w:rPr>
          <w:rFonts w:ascii="Book Antiqua" w:hAnsi="Book Antiqua"/>
          <w:sz w:val="23"/>
          <w:szCs w:val="23"/>
          <w:u w:val="single"/>
        </w:rPr>
        <w:t>MBR</w:t>
      </w:r>
      <w:r w:rsidR="00656AE3">
        <w:rPr>
          <w:rFonts w:ascii="Book Antiqua" w:hAnsi="Book Antiqua"/>
          <w:sz w:val="23"/>
          <w:szCs w:val="23"/>
        </w:rPr>
        <w:t xml:space="preserve"> at </w:t>
      </w:r>
      <w:r w:rsidR="0063749C" w:rsidRPr="008A67ED">
        <w:rPr>
          <w:rFonts w:ascii="Book Antiqua" w:hAnsi="Book Antiqua"/>
          <w:b/>
          <w:bCs/>
          <w:sz w:val="23"/>
          <w:szCs w:val="23"/>
        </w:rPr>
        <w:t>[AB/16/526]</w:t>
      </w:r>
      <w:r w:rsidR="00656AE3">
        <w:rPr>
          <w:rFonts w:ascii="Book Antiqua" w:hAnsi="Book Antiqua"/>
          <w:sz w:val="23"/>
          <w:szCs w:val="23"/>
        </w:rPr>
        <w:t>)</w:t>
      </w:r>
      <w:r w:rsidR="00160659" w:rsidRPr="008A67ED">
        <w:rPr>
          <w:rFonts w:ascii="Book Antiqua" w:hAnsi="Book Antiqua"/>
          <w:sz w:val="23"/>
          <w:szCs w:val="23"/>
        </w:rPr>
        <w:t>.</w:t>
      </w:r>
      <w:r w:rsidR="00033870" w:rsidRPr="008A67ED">
        <w:rPr>
          <w:rFonts w:ascii="Book Antiqua" w:hAnsi="Book Antiqua"/>
          <w:sz w:val="23"/>
          <w:szCs w:val="23"/>
        </w:rPr>
        <w:t xml:space="preserve"> </w:t>
      </w:r>
      <w:r w:rsidR="00585E77" w:rsidRPr="008A67ED">
        <w:rPr>
          <w:rFonts w:ascii="Book Antiqua" w:hAnsi="Book Antiqua"/>
          <w:sz w:val="23"/>
          <w:szCs w:val="23"/>
        </w:rPr>
        <w:t xml:space="preserve"> </w:t>
      </w:r>
    </w:p>
    <w:p w14:paraId="0B9693D7" w14:textId="77777777" w:rsidR="00912D66" w:rsidRPr="003050ED" w:rsidRDefault="00912D66" w:rsidP="00563259">
      <w:pPr>
        <w:spacing w:line="360" w:lineRule="auto"/>
        <w:jc w:val="both"/>
        <w:rPr>
          <w:rFonts w:ascii="Book Antiqua" w:hAnsi="Book Antiqua"/>
          <w:b/>
          <w:bCs/>
          <w:sz w:val="6"/>
          <w:szCs w:val="6"/>
          <w:u w:val="single"/>
        </w:rPr>
      </w:pPr>
    </w:p>
    <w:p w14:paraId="569BCB13" w14:textId="6265BF80" w:rsidR="00B35164" w:rsidRPr="00C3428A" w:rsidRDefault="00563259" w:rsidP="00563259">
      <w:pPr>
        <w:pStyle w:val="ListParagraph"/>
        <w:numPr>
          <w:ilvl w:val="0"/>
          <w:numId w:val="2"/>
        </w:numPr>
        <w:spacing w:line="360" w:lineRule="auto"/>
        <w:ind w:left="567" w:hanging="567"/>
        <w:contextualSpacing w:val="0"/>
        <w:jc w:val="both"/>
        <w:rPr>
          <w:rFonts w:ascii="Book Antiqua" w:hAnsi="Book Antiqua"/>
          <w:b/>
          <w:bCs/>
          <w:sz w:val="23"/>
          <w:szCs w:val="23"/>
          <w:u w:val="single"/>
        </w:rPr>
      </w:pPr>
      <w:r w:rsidRPr="00C3428A">
        <w:rPr>
          <w:rFonts w:ascii="Book Antiqua" w:hAnsi="Book Antiqua"/>
          <w:b/>
          <w:bCs/>
          <w:sz w:val="23"/>
          <w:szCs w:val="23"/>
          <w:u w:val="single"/>
        </w:rPr>
        <w:t>SUBMISSIONS</w:t>
      </w:r>
    </w:p>
    <w:p w14:paraId="0326A123" w14:textId="2FCF4B75" w:rsidR="005B6CC7" w:rsidRDefault="0039795E" w:rsidP="00624586">
      <w:pPr>
        <w:pStyle w:val="ListParagraph"/>
        <w:numPr>
          <w:ilvl w:val="0"/>
          <w:numId w:val="3"/>
        </w:numPr>
        <w:spacing w:line="360" w:lineRule="auto"/>
        <w:ind w:left="567" w:hanging="567"/>
        <w:contextualSpacing w:val="0"/>
        <w:jc w:val="both"/>
        <w:rPr>
          <w:rFonts w:ascii="Book Antiqua" w:hAnsi="Book Antiqua"/>
          <w:sz w:val="23"/>
          <w:szCs w:val="23"/>
        </w:rPr>
      </w:pPr>
      <w:r>
        <w:rPr>
          <w:rFonts w:ascii="Book Antiqua" w:hAnsi="Book Antiqua"/>
          <w:sz w:val="23"/>
          <w:szCs w:val="23"/>
        </w:rPr>
        <w:t>In relation to t</w:t>
      </w:r>
      <w:r w:rsidR="00B56821" w:rsidRPr="00B56821">
        <w:rPr>
          <w:rFonts w:ascii="Book Antiqua" w:hAnsi="Book Antiqua"/>
          <w:sz w:val="23"/>
          <w:szCs w:val="23"/>
        </w:rPr>
        <w:t xml:space="preserve">he </w:t>
      </w:r>
      <w:r w:rsidR="00B56821" w:rsidRPr="00B56821">
        <w:rPr>
          <w:rFonts w:ascii="Book Antiqua" w:hAnsi="Book Antiqua"/>
          <w:sz w:val="23"/>
          <w:szCs w:val="23"/>
          <w:u w:val="single"/>
        </w:rPr>
        <w:t>Valero</w:t>
      </w:r>
      <w:r w:rsidR="00B56821" w:rsidRPr="00B56821">
        <w:rPr>
          <w:rFonts w:ascii="Book Antiqua" w:hAnsi="Book Antiqua"/>
          <w:sz w:val="23"/>
          <w:szCs w:val="23"/>
        </w:rPr>
        <w:t xml:space="preserve"> tests, set out at §58 of Ritchie J’s judgment</w:t>
      </w:r>
      <w:r w:rsidR="0063749C">
        <w:rPr>
          <w:rFonts w:ascii="Book Antiqua" w:hAnsi="Book Antiqua"/>
          <w:sz w:val="23"/>
          <w:szCs w:val="23"/>
        </w:rPr>
        <w:t xml:space="preserve"> </w:t>
      </w:r>
      <w:r w:rsidR="0063749C">
        <w:rPr>
          <w:rFonts w:ascii="Book Antiqua" w:hAnsi="Book Antiqua"/>
          <w:b/>
          <w:bCs/>
          <w:sz w:val="23"/>
          <w:szCs w:val="23"/>
        </w:rPr>
        <w:t>[AB/</w:t>
      </w:r>
      <w:r w:rsidR="005E6AE1">
        <w:rPr>
          <w:rFonts w:ascii="Book Antiqua" w:hAnsi="Book Antiqua"/>
          <w:b/>
          <w:bCs/>
          <w:sz w:val="23"/>
          <w:szCs w:val="23"/>
        </w:rPr>
        <w:t>7</w:t>
      </w:r>
      <w:r w:rsidR="0063749C">
        <w:rPr>
          <w:rFonts w:ascii="Book Antiqua" w:hAnsi="Book Antiqua"/>
          <w:b/>
          <w:bCs/>
          <w:sz w:val="23"/>
          <w:szCs w:val="23"/>
        </w:rPr>
        <w:t>/</w:t>
      </w:r>
      <w:r w:rsidR="005E6AE1">
        <w:rPr>
          <w:rFonts w:ascii="Book Antiqua" w:hAnsi="Book Antiqua"/>
          <w:b/>
          <w:bCs/>
          <w:sz w:val="23"/>
          <w:szCs w:val="23"/>
        </w:rPr>
        <w:t>236</w:t>
      </w:r>
      <w:r w:rsidR="0063749C">
        <w:rPr>
          <w:rFonts w:ascii="Book Antiqua" w:hAnsi="Book Antiqua"/>
          <w:b/>
          <w:bCs/>
          <w:sz w:val="23"/>
          <w:szCs w:val="23"/>
        </w:rPr>
        <w:t>]</w:t>
      </w:r>
      <w:r w:rsidR="00B56821" w:rsidRPr="00B56821">
        <w:rPr>
          <w:rFonts w:ascii="Book Antiqua" w:hAnsi="Book Antiqua"/>
          <w:sz w:val="23"/>
          <w:szCs w:val="23"/>
        </w:rPr>
        <w:t xml:space="preserve">, </w:t>
      </w:r>
      <w:r>
        <w:rPr>
          <w:rFonts w:ascii="Book Antiqua" w:hAnsi="Book Antiqua"/>
          <w:sz w:val="23"/>
          <w:szCs w:val="23"/>
        </w:rPr>
        <w:t>the University makes the following submissions</w:t>
      </w:r>
      <w:r w:rsidR="00B56821" w:rsidRPr="00B56821">
        <w:rPr>
          <w:rFonts w:ascii="Book Antiqua" w:hAnsi="Book Antiqua"/>
          <w:sz w:val="23"/>
          <w:szCs w:val="23"/>
        </w:rPr>
        <w:t>:</w:t>
      </w:r>
      <w:r w:rsidR="00B56821" w:rsidRPr="0032025E">
        <w:rPr>
          <w:rStyle w:val="FootnoteReference"/>
          <w:rFonts w:ascii="Book Antiqua" w:hAnsi="Book Antiqua"/>
          <w:sz w:val="23"/>
          <w:szCs w:val="23"/>
        </w:rPr>
        <w:footnoteReference w:id="4"/>
      </w:r>
    </w:p>
    <w:p w14:paraId="57915695" w14:textId="77777777" w:rsidR="005B6CC7" w:rsidRDefault="005B6CC7" w:rsidP="00624586">
      <w:pPr>
        <w:pStyle w:val="ListParagraph"/>
        <w:numPr>
          <w:ilvl w:val="0"/>
          <w:numId w:val="3"/>
        </w:numPr>
        <w:spacing w:line="360" w:lineRule="auto"/>
        <w:ind w:left="567" w:hanging="567"/>
        <w:contextualSpacing w:val="0"/>
        <w:jc w:val="both"/>
        <w:rPr>
          <w:rFonts w:ascii="Book Antiqua" w:hAnsi="Book Antiqua"/>
          <w:sz w:val="23"/>
          <w:szCs w:val="23"/>
        </w:rPr>
      </w:pPr>
      <w:r>
        <w:rPr>
          <w:rFonts w:ascii="Book Antiqua" w:hAnsi="Book Antiqua"/>
          <w:b/>
          <w:bCs/>
          <w:sz w:val="23"/>
          <w:szCs w:val="23"/>
        </w:rPr>
        <w:t xml:space="preserve">First, </w:t>
      </w:r>
      <w:r w:rsidRPr="00FD4911">
        <w:rPr>
          <w:rFonts w:ascii="Book Antiqua" w:hAnsi="Book Antiqua"/>
          <w:sz w:val="23"/>
          <w:szCs w:val="23"/>
        </w:rPr>
        <w:t>t</w:t>
      </w:r>
      <w:r w:rsidR="00B56821" w:rsidRPr="005B6CC7">
        <w:rPr>
          <w:rFonts w:ascii="Book Antiqua" w:hAnsi="Book Antiqua"/>
          <w:sz w:val="23"/>
          <w:szCs w:val="23"/>
        </w:rPr>
        <w:t xml:space="preserve">here </w:t>
      </w:r>
      <w:r w:rsidR="005A2F08" w:rsidRPr="005B6CC7">
        <w:rPr>
          <w:rFonts w:ascii="Book Antiqua" w:hAnsi="Book Antiqua"/>
          <w:sz w:val="23"/>
          <w:szCs w:val="23"/>
        </w:rPr>
        <w:t>are</w:t>
      </w:r>
      <w:r w:rsidR="00B56821" w:rsidRPr="005B6CC7">
        <w:rPr>
          <w:rFonts w:ascii="Book Antiqua" w:hAnsi="Book Antiqua"/>
          <w:sz w:val="23"/>
          <w:szCs w:val="23"/>
        </w:rPr>
        <w:t xml:space="preserve"> </w:t>
      </w:r>
      <w:r w:rsidR="005A2F08" w:rsidRPr="005B6CC7">
        <w:rPr>
          <w:rFonts w:ascii="Book Antiqua" w:hAnsi="Book Antiqua"/>
          <w:sz w:val="23"/>
          <w:szCs w:val="23"/>
        </w:rPr>
        <w:t>two</w:t>
      </w:r>
      <w:r w:rsidR="00B56821" w:rsidRPr="005B6CC7">
        <w:rPr>
          <w:rFonts w:ascii="Book Antiqua" w:hAnsi="Book Antiqua"/>
          <w:sz w:val="23"/>
          <w:szCs w:val="23"/>
        </w:rPr>
        <w:t xml:space="preserve"> civil cause</w:t>
      </w:r>
      <w:r w:rsidR="005A2F08" w:rsidRPr="005B6CC7">
        <w:rPr>
          <w:rFonts w:ascii="Book Antiqua" w:hAnsi="Book Antiqua"/>
          <w:sz w:val="23"/>
          <w:szCs w:val="23"/>
        </w:rPr>
        <w:t>s</w:t>
      </w:r>
      <w:r w:rsidR="00B56821" w:rsidRPr="005B6CC7">
        <w:rPr>
          <w:rFonts w:ascii="Book Antiqua" w:hAnsi="Book Antiqua"/>
          <w:sz w:val="23"/>
          <w:szCs w:val="23"/>
        </w:rPr>
        <w:t xml:space="preserve"> of action identified</w:t>
      </w:r>
      <w:r w:rsidR="005A2F08" w:rsidRPr="005B6CC7">
        <w:rPr>
          <w:rFonts w:ascii="Book Antiqua" w:hAnsi="Book Antiqua"/>
          <w:sz w:val="23"/>
          <w:szCs w:val="23"/>
        </w:rPr>
        <w:t xml:space="preserve">. In relation to </w:t>
      </w:r>
      <w:r w:rsidR="00B56821" w:rsidRPr="005B6CC7">
        <w:rPr>
          <w:rFonts w:ascii="Book Antiqua" w:hAnsi="Book Antiqua"/>
          <w:sz w:val="23"/>
          <w:szCs w:val="23"/>
        </w:rPr>
        <w:t>trespass</w:t>
      </w:r>
      <w:r w:rsidR="005A2F08" w:rsidRPr="005B6CC7">
        <w:rPr>
          <w:rFonts w:ascii="Book Antiqua" w:hAnsi="Book Antiqua"/>
          <w:sz w:val="23"/>
          <w:szCs w:val="23"/>
        </w:rPr>
        <w:t>:</w:t>
      </w:r>
      <w:r w:rsidR="00B56821" w:rsidRPr="005B6CC7">
        <w:rPr>
          <w:rFonts w:ascii="Book Antiqua" w:hAnsi="Book Antiqua"/>
          <w:sz w:val="23"/>
          <w:szCs w:val="23"/>
        </w:rPr>
        <w:t xml:space="preserve"> </w:t>
      </w:r>
    </w:p>
    <w:p w14:paraId="71E02D3D" w14:textId="199285D8" w:rsidR="005B6CC7" w:rsidRDefault="006A1537" w:rsidP="005B6CC7">
      <w:pPr>
        <w:pStyle w:val="ListParagraph"/>
        <w:numPr>
          <w:ilvl w:val="1"/>
          <w:numId w:val="13"/>
        </w:numPr>
        <w:spacing w:line="360" w:lineRule="auto"/>
        <w:ind w:left="1701" w:hanging="567"/>
        <w:contextualSpacing w:val="0"/>
        <w:jc w:val="both"/>
        <w:rPr>
          <w:rFonts w:ascii="Book Antiqua" w:hAnsi="Book Antiqua"/>
          <w:sz w:val="23"/>
          <w:szCs w:val="23"/>
        </w:rPr>
      </w:pPr>
      <w:r w:rsidRPr="005B6CC7">
        <w:rPr>
          <w:rFonts w:ascii="Book Antiqua" w:hAnsi="Book Antiqua"/>
          <w:sz w:val="23"/>
          <w:szCs w:val="23"/>
        </w:rPr>
        <w:t xml:space="preserve">No member of the public has </w:t>
      </w:r>
      <w:r w:rsidR="00310468" w:rsidRPr="005B6CC7">
        <w:rPr>
          <w:rFonts w:ascii="Book Antiqua" w:hAnsi="Book Antiqua"/>
          <w:sz w:val="23"/>
          <w:szCs w:val="23"/>
        </w:rPr>
        <w:t xml:space="preserve">been granted a licence to be on the Land or carry out the </w:t>
      </w:r>
      <w:r w:rsidR="00406BA2">
        <w:rPr>
          <w:rFonts w:ascii="Book Antiqua" w:hAnsi="Book Antiqua"/>
          <w:sz w:val="23"/>
          <w:szCs w:val="23"/>
        </w:rPr>
        <w:t>Direct Action</w:t>
      </w:r>
      <w:r w:rsidR="00310468" w:rsidRPr="005B6CC7">
        <w:rPr>
          <w:rFonts w:ascii="Book Antiqua" w:hAnsi="Book Antiqua"/>
          <w:sz w:val="23"/>
          <w:szCs w:val="23"/>
        </w:rPr>
        <w:t xml:space="preserve">. </w:t>
      </w:r>
    </w:p>
    <w:p w14:paraId="14926282" w14:textId="2F98E3B1" w:rsidR="00265E6B" w:rsidRPr="005B6CC7" w:rsidRDefault="00383FBA" w:rsidP="005B6CC7">
      <w:pPr>
        <w:pStyle w:val="ListParagraph"/>
        <w:numPr>
          <w:ilvl w:val="1"/>
          <w:numId w:val="13"/>
        </w:numPr>
        <w:spacing w:line="360" w:lineRule="auto"/>
        <w:ind w:left="1701" w:hanging="567"/>
        <w:contextualSpacing w:val="0"/>
        <w:jc w:val="both"/>
        <w:rPr>
          <w:rFonts w:ascii="Book Antiqua" w:hAnsi="Book Antiqua"/>
          <w:sz w:val="23"/>
          <w:szCs w:val="23"/>
        </w:rPr>
      </w:pPr>
      <w:r w:rsidRPr="005B6CC7">
        <w:rPr>
          <w:rFonts w:ascii="Book Antiqua" w:hAnsi="Book Antiqua"/>
          <w:sz w:val="23"/>
          <w:szCs w:val="23"/>
        </w:rPr>
        <w:t xml:space="preserve">In respect of </w:t>
      </w:r>
      <w:r w:rsidR="00210F73" w:rsidRPr="005B6CC7">
        <w:rPr>
          <w:rFonts w:ascii="Book Antiqua" w:hAnsi="Book Antiqua"/>
          <w:sz w:val="23"/>
          <w:szCs w:val="23"/>
        </w:rPr>
        <w:t>students</w:t>
      </w:r>
      <w:r w:rsidR="00822FE6" w:rsidRPr="005B6CC7">
        <w:rPr>
          <w:rFonts w:ascii="Book Antiqua" w:hAnsi="Book Antiqua"/>
          <w:sz w:val="23"/>
          <w:szCs w:val="23"/>
        </w:rPr>
        <w:t xml:space="preserve">, </w:t>
      </w:r>
      <w:r w:rsidRPr="005B6CC7">
        <w:rPr>
          <w:rFonts w:ascii="Book Antiqua" w:hAnsi="Book Antiqua"/>
          <w:sz w:val="23"/>
          <w:szCs w:val="23"/>
        </w:rPr>
        <w:t>Greenwich House, Senate House and The Old Schools</w:t>
      </w:r>
      <w:r w:rsidR="00210F73" w:rsidRPr="005B6CC7">
        <w:rPr>
          <w:rFonts w:ascii="Book Antiqua" w:hAnsi="Book Antiqua"/>
          <w:sz w:val="23"/>
          <w:szCs w:val="23"/>
        </w:rPr>
        <w:t xml:space="preserve"> </w:t>
      </w:r>
      <w:r w:rsidR="00987D1E" w:rsidRPr="005B6CC7">
        <w:rPr>
          <w:rFonts w:ascii="Book Antiqua" w:hAnsi="Book Antiqua"/>
          <w:sz w:val="23"/>
          <w:szCs w:val="23"/>
        </w:rPr>
        <w:t xml:space="preserve">are not open to </w:t>
      </w:r>
      <w:r w:rsidR="00210F73" w:rsidRPr="005B6CC7">
        <w:rPr>
          <w:rFonts w:ascii="Book Antiqua" w:hAnsi="Book Antiqua"/>
          <w:sz w:val="23"/>
          <w:szCs w:val="23"/>
        </w:rPr>
        <w:t>them</w:t>
      </w:r>
      <w:r w:rsidR="00987D1E" w:rsidRPr="005B6CC7">
        <w:rPr>
          <w:rFonts w:ascii="Book Antiqua" w:hAnsi="Book Antiqua"/>
          <w:sz w:val="23"/>
          <w:szCs w:val="23"/>
        </w:rPr>
        <w:t xml:space="preserve"> and they have no </w:t>
      </w:r>
      <w:r w:rsidR="00406BA2">
        <w:rPr>
          <w:rFonts w:ascii="Book Antiqua" w:hAnsi="Book Antiqua"/>
          <w:sz w:val="23"/>
          <w:szCs w:val="23"/>
        </w:rPr>
        <w:t>general</w:t>
      </w:r>
      <w:r w:rsidR="00987D1E" w:rsidRPr="005B6CC7">
        <w:rPr>
          <w:rFonts w:ascii="Book Antiqua" w:hAnsi="Book Antiqua"/>
          <w:sz w:val="23"/>
          <w:szCs w:val="23"/>
        </w:rPr>
        <w:t xml:space="preserve"> licence to be there</w:t>
      </w:r>
      <w:r w:rsidR="00822FE6" w:rsidRPr="005B6CC7">
        <w:rPr>
          <w:rFonts w:ascii="Book Antiqua" w:hAnsi="Book Antiqua"/>
          <w:sz w:val="23"/>
          <w:szCs w:val="23"/>
        </w:rPr>
        <w:t xml:space="preserve">. </w:t>
      </w:r>
      <w:r w:rsidR="007E15E8" w:rsidRPr="005B6CC7">
        <w:rPr>
          <w:rFonts w:ascii="Book Antiqua" w:hAnsi="Book Antiqua"/>
          <w:sz w:val="23"/>
          <w:szCs w:val="23"/>
        </w:rPr>
        <w:t>Senate House Yard is</w:t>
      </w:r>
      <w:r w:rsidR="00E7128A" w:rsidRPr="005B6CC7">
        <w:rPr>
          <w:rFonts w:ascii="Book Antiqua" w:hAnsi="Book Antiqua"/>
          <w:sz w:val="23"/>
          <w:szCs w:val="23"/>
        </w:rPr>
        <w:t xml:space="preserve"> generally open to them but only when the gates are open and there is no event taking place there</w:t>
      </w:r>
      <w:r w:rsidR="00967599" w:rsidRPr="005B6CC7">
        <w:rPr>
          <w:rFonts w:ascii="Book Antiqua" w:hAnsi="Book Antiqua"/>
          <w:sz w:val="23"/>
          <w:szCs w:val="23"/>
        </w:rPr>
        <w:t xml:space="preserve">. </w:t>
      </w:r>
      <w:r w:rsidR="00E31636" w:rsidRPr="005B6CC7">
        <w:rPr>
          <w:rFonts w:ascii="Book Antiqua" w:hAnsi="Book Antiqua"/>
          <w:sz w:val="23"/>
          <w:szCs w:val="23"/>
        </w:rPr>
        <w:t xml:space="preserve">But in any event, students do not have a </w:t>
      </w:r>
      <w:r w:rsidR="008C2F5F" w:rsidRPr="005B6CC7">
        <w:rPr>
          <w:rFonts w:ascii="Book Antiqua" w:hAnsi="Book Antiqua"/>
          <w:sz w:val="23"/>
          <w:szCs w:val="23"/>
        </w:rPr>
        <w:t xml:space="preserve">general </w:t>
      </w:r>
      <w:r w:rsidR="00E31636" w:rsidRPr="005B6CC7">
        <w:rPr>
          <w:rFonts w:ascii="Book Antiqua" w:hAnsi="Book Antiqua"/>
          <w:sz w:val="23"/>
          <w:szCs w:val="23"/>
        </w:rPr>
        <w:t xml:space="preserve">licence to </w:t>
      </w:r>
      <w:r w:rsidR="00EF2977" w:rsidRPr="005B6CC7">
        <w:rPr>
          <w:rFonts w:ascii="Book Antiqua" w:hAnsi="Book Antiqua"/>
          <w:sz w:val="23"/>
          <w:szCs w:val="23"/>
        </w:rPr>
        <w:t>carry out protests</w:t>
      </w:r>
      <w:r w:rsidR="00822FE6" w:rsidRPr="005B6CC7">
        <w:rPr>
          <w:rFonts w:ascii="Book Antiqua" w:hAnsi="Book Antiqua"/>
          <w:sz w:val="23"/>
          <w:szCs w:val="23"/>
        </w:rPr>
        <w:t xml:space="preserve"> on/occupy Senate House Yard. In particular,</w:t>
      </w:r>
      <w:r w:rsidR="008C2F5F" w:rsidRPr="005B6CC7">
        <w:rPr>
          <w:rFonts w:ascii="Book Antiqua" w:hAnsi="Book Antiqua"/>
          <w:sz w:val="23"/>
          <w:szCs w:val="23"/>
        </w:rPr>
        <w:t xml:space="preserve"> </w:t>
      </w:r>
      <w:r w:rsidR="000C0020" w:rsidRPr="005B6CC7">
        <w:rPr>
          <w:rFonts w:ascii="Book Antiqua" w:hAnsi="Book Antiqua"/>
          <w:sz w:val="23"/>
          <w:szCs w:val="23"/>
        </w:rPr>
        <w:t xml:space="preserve">to do so without obtaining express consent under the University’s Rules of Behaviour </w:t>
      </w:r>
      <w:r w:rsidR="00DD7A32">
        <w:rPr>
          <w:rFonts w:ascii="Book Antiqua" w:hAnsi="Book Antiqua"/>
          <w:b/>
          <w:bCs/>
          <w:sz w:val="23"/>
          <w:szCs w:val="23"/>
        </w:rPr>
        <w:t>[</w:t>
      </w:r>
      <w:r w:rsidR="00211D7C">
        <w:rPr>
          <w:rFonts w:ascii="Book Antiqua" w:hAnsi="Book Antiqua"/>
          <w:b/>
          <w:bCs/>
          <w:sz w:val="23"/>
          <w:szCs w:val="23"/>
        </w:rPr>
        <w:t>HB</w:t>
      </w:r>
      <w:r w:rsidR="00DD7A32">
        <w:rPr>
          <w:rFonts w:ascii="Book Antiqua" w:hAnsi="Book Antiqua"/>
          <w:b/>
          <w:bCs/>
          <w:sz w:val="23"/>
          <w:szCs w:val="23"/>
        </w:rPr>
        <w:t>/</w:t>
      </w:r>
      <w:r w:rsidR="00142007">
        <w:rPr>
          <w:rFonts w:ascii="Book Antiqua" w:hAnsi="Book Antiqua"/>
          <w:b/>
          <w:bCs/>
          <w:sz w:val="23"/>
          <w:szCs w:val="23"/>
        </w:rPr>
        <w:t>7/</w:t>
      </w:r>
      <w:r w:rsidR="00301703">
        <w:rPr>
          <w:rFonts w:ascii="Book Antiqua" w:hAnsi="Book Antiqua"/>
          <w:b/>
          <w:bCs/>
          <w:sz w:val="23"/>
          <w:szCs w:val="23"/>
        </w:rPr>
        <w:t>230</w:t>
      </w:r>
      <w:r w:rsidR="00A31463">
        <w:rPr>
          <w:rFonts w:ascii="Book Antiqua" w:hAnsi="Book Antiqua"/>
          <w:b/>
          <w:bCs/>
          <w:sz w:val="23"/>
          <w:szCs w:val="23"/>
        </w:rPr>
        <w:t>(</w:t>
      </w:r>
      <w:r w:rsidR="00142007">
        <w:rPr>
          <w:rFonts w:ascii="Book Antiqua" w:hAnsi="Book Antiqua"/>
          <w:b/>
          <w:bCs/>
          <w:sz w:val="23"/>
          <w:szCs w:val="23"/>
        </w:rPr>
        <w:t>PDF232</w:t>
      </w:r>
      <w:r w:rsidR="00A31463">
        <w:rPr>
          <w:rFonts w:ascii="Book Antiqua" w:hAnsi="Book Antiqua"/>
          <w:b/>
          <w:bCs/>
          <w:sz w:val="23"/>
          <w:szCs w:val="23"/>
        </w:rPr>
        <w:t>)</w:t>
      </w:r>
      <w:r w:rsidR="00142007">
        <w:rPr>
          <w:rFonts w:ascii="Book Antiqua" w:hAnsi="Book Antiqua"/>
          <w:b/>
          <w:bCs/>
          <w:sz w:val="23"/>
          <w:szCs w:val="23"/>
        </w:rPr>
        <w:t>]</w:t>
      </w:r>
      <w:r w:rsidR="00DD7A32">
        <w:rPr>
          <w:rFonts w:ascii="Book Antiqua" w:hAnsi="Book Antiqua"/>
          <w:b/>
          <w:bCs/>
          <w:sz w:val="23"/>
          <w:szCs w:val="23"/>
        </w:rPr>
        <w:t xml:space="preserve"> </w:t>
      </w:r>
      <w:r w:rsidR="000C0020" w:rsidRPr="005B6CC7">
        <w:rPr>
          <w:rFonts w:ascii="Book Antiqua" w:hAnsi="Book Antiqua"/>
          <w:sz w:val="23"/>
          <w:szCs w:val="23"/>
        </w:rPr>
        <w:t xml:space="preserve">and </w:t>
      </w:r>
      <w:r w:rsidR="004D6623" w:rsidRPr="005B6CC7">
        <w:rPr>
          <w:rFonts w:ascii="Book Antiqua" w:hAnsi="Book Antiqua"/>
          <w:sz w:val="23"/>
          <w:szCs w:val="23"/>
        </w:rPr>
        <w:t xml:space="preserve">the University’s </w:t>
      </w:r>
      <w:r w:rsidR="000C0020" w:rsidRPr="005B6CC7">
        <w:rPr>
          <w:rFonts w:ascii="Book Antiqua" w:hAnsi="Book Antiqua"/>
          <w:sz w:val="23"/>
          <w:szCs w:val="23"/>
        </w:rPr>
        <w:t>Code of Practice of Freedom of Speech</w:t>
      </w:r>
      <w:r w:rsidR="00481F12" w:rsidRPr="005B6CC7">
        <w:rPr>
          <w:rFonts w:ascii="Book Antiqua" w:hAnsi="Book Antiqua"/>
          <w:sz w:val="23"/>
          <w:szCs w:val="23"/>
        </w:rPr>
        <w:t xml:space="preserve"> </w:t>
      </w:r>
      <w:r w:rsidR="00144CFA">
        <w:rPr>
          <w:rFonts w:ascii="Book Antiqua" w:hAnsi="Book Antiqua"/>
          <w:b/>
          <w:bCs/>
          <w:sz w:val="23"/>
          <w:szCs w:val="23"/>
        </w:rPr>
        <w:t>[</w:t>
      </w:r>
      <w:r w:rsidR="00211D7C">
        <w:rPr>
          <w:rFonts w:ascii="Book Antiqua" w:hAnsi="Book Antiqua"/>
          <w:b/>
          <w:bCs/>
          <w:sz w:val="23"/>
          <w:szCs w:val="23"/>
        </w:rPr>
        <w:t>HB</w:t>
      </w:r>
      <w:r w:rsidR="00142007">
        <w:rPr>
          <w:rFonts w:ascii="Book Antiqua" w:hAnsi="Book Antiqua"/>
          <w:b/>
          <w:bCs/>
          <w:sz w:val="23"/>
          <w:szCs w:val="23"/>
        </w:rPr>
        <w:t>/7</w:t>
      </w:r>
      <w:r w:rsidR="00144CFA">
        <w:rPr>
          <w:rFonts w:ascii="Book Antiqua" w:hAnsi="Book Antiqua"/>
          <w:b/>
          <w:bCs/>
          <w:sz w:val="23"/>
          <w:szCs w:val="23"/>
        </w:rPr>
        <w:t>/248</w:t>
      </w:r>
      <w:r w:rsidR="00A31463">
        <w:rPr>
          <w:rFonts w:ascii="Book Antiqua" w:hAnsi="Book Antiqua"/>
          <w:b/>
          <w:bCs/>
          <w:sz w:val="23"/>
          <w:szCs w:val="23"/>
        </w:rPr>
        <w:t>(</w:t>
      </w:r>
      <w:r w:rsidR="00142007">
        <w:rPr>
          <w:rFonts w:ascii="Book Antiqua" w:hAnsi="Book Antiqua"/>
          <w:b/>
          <w:bCs/>
          <w:sz w:val="23"/>
          <w:szCs w:val="23"/>
        </w:rPr>
        <w:t>PDF250</w:t>
      </w:r>
      <w:r w:rsidR="00A31463">
        <w:rPr>
          <w:rFonts w:ascii="Book Antiqua" w:hAnsi="Book Antiqua"/>
          <w:b/>
          <w:bCs/>
          <w:sz w:val="23"/>
          <w:szCs w:val="23"/>
        </w:rPr>
        <w:t>)</w:t>
      </w:r>
      <w:r w:rsidR="00142007">
        <w:rPr>
          <w:rFonts w:ascii="Book Antiqua" w:hAnsi="Book Antiqua"/>
          <w:b/>
          <w:bCs/>
          <w:sz w:val="23"/>
          <w:szCs w:val="23"/>
        </w:rPr>
        <w:t>]</w:t>
      </w:r>
      <w:r w:rsidR="00DD7A32">
        <w:rPr>
          <w:rFonts w:ascii="Book Antiqua" w:hAnsi="Book Antiqua"/>
          <w:sz w:val="23"/>
          <w:szCs w:val="23"/>
        </w:rPr>
        <w:t xml:space="preserve"> </w:t>
      </w:r>
      <w:r w:rsidR="00481F12" w:rsidRPr="005B6CC7">
        <w:rPr>
          <w:rFonts w:ascii="Book Antiqua" w:hAnsi="Book Antiqua"/>
          <w:sz w:val="23"/>
          <w:szCs w:val="23"/>
        </w:rPr>
        <w:t xml:space="preserve">amounts to a breach of the Rules of Behaviour, </w:t>
      </w:r>
      <w:r w:rsidR="00C522A2" w:rsidRPr="005B6CC7">
        <w:rPr>
          <w:rFonts w:ascii="Book Antiqua" w:hAnsi="Book Antiqua"/>
          <w:sz w:val="23"/>
          <w:szCs w:val="23"/>
        </w:rPr>
        <w:t>paragraphs 1(a)</w:t>
      </w:r>
      <w:r w:rsidR="008B3E3F" w:rsidRPr="005B6CC7">
        <w:rPr>
          <w:rFonts w:ascii="Book Antiqua" w:hAnsi="Book Antiqua"/>
          <w:sz w:val="23"/>
          <w:szCs w:val="23"/>
        </w:rPr>
        <w:t xml:space="preserve">, </w:t>
      </w:r>
      <w:r w:rsidR="00C522A2" w:rsidRPr="005B6CC7">
        <w:rPr>
          <w:rFonts w:ascii="Book Antiqua" w:hAnsi="Book Antiqua"/>
          <w:sz w:val="23"/>
          <w:szCs w:val="23"/>
        </w:rPr>
        <w:t>1(d),</w:t>
      </w:r>
      <w:r w:rsidR="008B3E3F" w:rsidRPr="005B6CC7">
        <w:rPr>
          <w:rFonts w:ascii="Book Antiqua" w:hAnsi="Book Antiqua"/>
          <w:sz w:val="23"/>
          <w:szCs w:val="23"/>
        </w:rPr>
        <w:t xml:space="preserve"> 2(a) and 2(b),</w:t>
      </w:r>
      <w:r w:rsidR="00C522A2" w:rsidRPr="005B6CC7">
        <w:rPr>
          <w:rFonts w:ascii="Book Antiqua" w:hAnsi="Book Antiqua"/>
          <w:sz w:val="23"/>
          <w:szCs w:val="23"/>
        </w:rPr>
        <w:t xml:space="preserve"> and paragraph A.3 of the Annex to the Code.</w:t>
      </w:r>
      <w:r w:rsidR="00265E6B" w:rsidRPr="005B6CC7">
        <w:rPr>
          <w:rFonts w:ascii="Book Antiqua" w:hAnsi="Book Antiqua"/>
          <w:sz w:val="23"/>
          <w:szCs w:val="23"/>
        </w:rPr>
        <w:t xml:space="preserve"> </w:t>
      </w:r>
      <w:r w:rsidR="003A0364" w:rsidRPr="005B6CC7">
        <w:rPr>
          <w:rFonts w:ascii="Book Antiqua" w:hAnsi="Book Antiqua"/>
          <w:sz w:val="23"/>
          <w:szCs w:val="23"/>
        </w:rPr>
        <w:t xml:space="preserve">These are rules which students signed up to </w:t>
      </w:r>
      <w:r w:rsidR="003F7716" w:rsidRPr="005B6CC7">
        <w:rPr>
          <w:rFonts w:ascii="Book Antiqua" w:hAnsi="Book Antiqua"/>
          <w:sz w:val="23"/>
          <w:szCs w:val="23"/>
        </w:rPr>
        <w:t>when</w:t>
      </w:r>
      <w:r w:rsidR="003A0364" w:rsidRPr="005B6CC7">
        <w:rPr>
          <w:rFonts w:ascii="Book Antiqua" w:hAnsi="Book Antiqua"/>
          <w:sz w:val="23"/>
          <w:szCs w:val="23"/>
        </w:rPr>
        <w:t xml:space="preserve"> enrolling at the University. </w:t>
      </w:r>
      <w:r w:rsidR="00DC06E2" w:rsidRPr="005B6CC7">
        <w:rPr>
          <w:rFonts w:ascii="Book Antiqua" w:hAnsi="Book Antiqua"/>
          <w:sz w:val="23"/>
          <w:szCs w:val="23"/>
        </w:rPr>
        <w:t xml:space="preserve">Consequently, any student </w:t>
      </w:r>
      <w:r w:rsidR="00417F1F" w:rsidRPr="005B6CC7">
        <w:rPr>
          <w:rFonts w:ascii="Book Antiqua" w:hAnsi="Book Antiqua"/>
          <w:sz w:val="23"/>
          <w:szCs w:val="23"/>
        </w:rPr>
        <w:t>entering onto the Land for the purposes of carrying out the</w:t>
      </w:r>
      <w:r w:rsidR="00A6178B">
        <w:rPr>
          <w:rFonts w:ascii="Book Antiqua" w:hAnsi="Book Antiqua"/>
          <w:sz w:val="23"/>
          <w:szCs w:val="23"/>
        </w:rPr>
        <w:t xml:space="preserve"> </w:t>
      </w:r>
      <w:r w:rsidR="00417F1F" w:rsidRPr="005B6CC7">
        <w:rPr>
          <w:rFonts w:ascii="Book Antiqua" w:hAnsi="Book Antiqua"/>
          <w:sz w:val="23"/>
          <w:szCs w:val="23"/>
        </w:rPr>
        <w:t xml:space="preserve">Direct Action would </w:t>
      </w:r>
      <w:r w:rsidR="005A2F08" w:rsidRPr="005B6CC7">
        <w:rPr>
          <w:rFonts w:ascii="Book Antiqua" w:hAnsi="Book Antiqua"/>
          <w:sz w:val="23"/>
          <w:szCs w:val="23"/>
        </w:rPr>
        <w:t xml:space="preserve">have no licence to do so and would be </w:t>
      </w:r>
      <w:r w:rsidR="009A7EDB">
        <w:rPr>
          <w:rFonts w:ascii="Book Antiqua" w:hAnsi="Book Antiqua"/>
          <w:sz w:val="23"/>
          <w:szCs w:val="23"/>
        </w:rPr>
        <w:t xml:space="preserve">a </w:t>
      </w:r>
      <w:r w:rsidR="005A2F08" w:rsidRPr="005B6CC7">
        <w:rPr>
          <w:rFonts w:ascii="Book Antiqua" w:hAnsi="Book Antiqua"/>
          <w:sz w:val="23"/>
          <w:szCs w:val="23"/>
        </w:rPr>
        <w:t>trespasser</w:t>
      </w:r>
      <w:r w:rsidR="0017049B">
        <w:rPr>
          <w:rFonts w:ascii="Book Antiqua" w:hAnsi="Book Antiqua"/>
          <w:sz w:val="23"/>
          <w:szCs w:val="23"/>
        </w:rPr>
        <w:t xml:space="preserve">: </w:t>
      </w:r>
      <w:r w:rsidR="0017049B" w:rsidRPr="004C33CE">
        <w:rPr>
          <w:rFonts w:ascii="Book Antiqua" w:hAnsi="Book Antiqua"/>
          <w:sz w:val="23"/>
          <w:szCs w:val="23"/>
          <w:u w:val="single"/>
        </w:rPr>
        <w:t>Fordham Judgment</w:t>
      </w:r>
      <w:r w:rsidR="0017049B">
        <w:rPr>
          <w:rFonts w:ascii="Book Antiqua" w:hAnsi="Book Antiqua"/>
          <w:sz w:val="23"/>
          <w:szCs w:val="23"/>
        </w:rPr>
        <w:t xml:space="preserve">, </w:t>
      </w:r>
      <w:r w:rsidR="00656DAA" w:rsidRPr="005B6CC7">
        <w:rPr>
          <w:rFonts w:ascii="Book Antiqua" w:hAnsi="Book Antiqua"/>
          <w:sz w:val="23"/>
          <w:szCs w:val="23"/>
        </w:rPr>
        <w:t>§§</w:t>
      </w:r>
      <w:r w:rsidR="00BD780B">
        <w:rPr>
          <w:rFonts w:ascii="Book Antiqua" w:hAnsi="Book Antiqua"/>
          <w:sz w:val="23"/>
          <w:szCs w:val="23"/>
        </w:rPr>
        <w:t>6</w:t>
      </w:r>
      <w:r w:rsidR="00521828">
        <w:rPr>
          <w:rFonts w:ascii="Book Antiqua" w:hAnsi="Book Antiqua"/>
          <w:sz w:val="23"/>
          <w:szCs w:val="23"/>
        </w:rPr>
        <w:t>, 25</w:t>
      </w:r>
      <w:r w:rsidR="008A2C45">
        <w:rPr>
          <w:rFonts w:ascii="Book Antiqua" w:hAnsi="Book Antiqua"/>
          <w:sz w:val="23"/>
          <w:szCs w:val="23"/>
        </w:rPr>
        <w:t xml:space="preserve"> and</w:t>
      </w:r>
      <w:r w:rsidR="00BD780B">
        <w:rPr>
          <w:rFonts w:ascii="Book Antiqua" w:hAnsi="Book Antiqua"/>
          <w:sz w:val="23"/>
          <w:szCs w:val="23"/>
        </w:rPr>
        <w:t xml:space="preserve"> </w:t>
      </w:r>
      <w:r w:rsidR="00656DAA">
        <w:rPr>
          <w:rFonts w:ascii="Book Antiqua" w:hAnsi="Book Antiqua"/>
          <w:sz w:val="23"/>
          <w:szCs w:val="23"/>
        </w:rPr>
        <w:t>36</w:t>
      </w:r>
      <w:r w:rsidR="00656DAA">
        <w:rPr>
          <w:rFonts w:ascii="Book Antiqua" w:hAnsi="Book Antiqua"/>
          <w:b/>
          <w:bCs/>
          <w:sz w:val="23"/>
          <w:szCs w:val="23"/>
        </w:rPr>
        <w:t xml:space="preserve"> [</w:t>
      </w:r>
      <w:r w:rsidR="00CA4BAF">
        <w:rPr>
          <w:rFonts w:ascii="Book Antiqua" w:hAnsi="Book Antiqua"/>
          <w:b/>
          <w:bCs/>
          <w:sz w:val="23"/>
          <w:szCs w:val="23"/>
        </w:rPr>
        <w:t>SB/10/</w:t>
      </w:r>
      <w:r w:rsidR="00142007">
        <w:rPr>
          <w:rFonts w:ascii="Book Antiqua" w:hAnsi="Book Antiqua"/>
          <w:b/>
          <w:bCs/>
          <w:sz w:val="23"/>
          <w:szCs w:val="23"/>
        </w:rPr>
        <w:t>914,</w:t>
      </w:r>
      <w:r w:rsidR="001C7CB6">
        <w:rPr>
          <w:rFonts w:ascii="Book Antiqua" w:hAnsi="Book Antiqua"/>
          <w:b/>
          <w:bCs/>
          <w:sz w:val="23"/>
          <w:szCs w:val="23"/>
        </w:rPr>
        <w:t xml:space="preserve"> 919 and</w:t>
      </w:r>
      <w:r w:rsidR="00142007">
        <w:rPr>
          <w:rFonts w:ascii="Book Antiqua" w:hAnsi="Book Antiqua"/>
          <w:b/>
          <w:bCs/>
          <w:sz w:val="23"/>
          <w:szCs w:val="23"/>
        </w:rPr>
        <w:t xml:space="preserve"> </w:t>
      </w:r>
      <w:r w:rsidR="00CA4BAF">
        <w:rPr>
          <w:rFonts w:ascii="Book Antiqua" w:hAnsi="Book Antiqua"/>
          <w:b/>
          <w:bCs/>
          <w:sz w:val="23"/>
          <w:szCs w:val="23"/>
        </w:rPr>
        <w:t>923</w:t>
      </w:r>
      <w:r w:rsidR="00A31463">
        <w:rPr>
          <w:rFonts w:ascii="Book Antiqua" w:hAnsi="Book Antiqua"/>
          <w:b/>
          <w:bCs/>
          <w:sz w:val="23"/>
          <w:szCs w:val="23"/>
        </w:rPr>
        <w:t xml:space="preserve"> (</w:t>
      </w:r>
      <w:r w:rsidR="00142007">
        <w:rPr>
          <w:rFonts w:ascii="Book Antiqua" w:hAnsi="Book Antiqua"/>
          <w:b/>
          <w:bCs/>
          <w:sz w:val="23"/>
          <w:szCs w:val="23"/>
        </w:rPr>
        <w:t xml:space="preserve">PDF276, </w:t>
      </w:r>
      <w:r w:rsidR="001C7CB6">
        <w:rPr>
          <w:rFonts w:ascii="Book Antiqua" w:hAnsi="Book Antiqua"/>
          <w:b/>
          <w:bCs/>
          <w:sz w:val="23"/>
          <w:szCs w:val="23"/>
        </w:rPr>
        <w:t xml:space="preserve"> 281 and </w:t>
      </w:r>
      <w:r w:rsidR="00142007">
        <w:rPr>
          <w:rFonts w:ascii="Book Antiqua" w:hAnsi="Book Antiqua"/>
          <w:b/>
          <w:bCs/>
          <w:sz w:val="23"/>
          <w:szCs w:val="23"/>
        </w:rPr>
        <w:t>285</w:t>
      </w:r>
      <w:r w:rsidR="00A31463">
        <w:rPr>
          <w:rFonts w:ascii="Book Antiqua" w:hAnsi="Book Antiqua"/>
          <w:b/>
          <w:bCs/>
          <w:sz w:val="23"/>
          <w:szCs w:val="23"/>
        </w:rPr>
        <w:t>)]</w:t>
      </w:r>
      <w:r w:rsidR="00656DAA">
        <w:rPr>
          <w:rFonts w:ascii="Book Antiqua" w:hAnsi="Book Antiqua"/>
          <w:sz w:val="23"/>
          <w:szCs w:val="23"/>
        </w:rPr>
        <w:t xml:space="preserve">; </w:t>
      </w:r>
      <w:r w:rsidR="00FC72F4" w:rsidRPr="005B6CC7">
        <w:rPr>
          <w:rFonts w:ascii="Book Antiqua" w:hAnsi="Book Antiqua"/>
          <w:sz w:val="23"/>
          <w:szCs w:val="23"/>
          <w:u w:val="single"/>
        </w:rPr>
        <w:t>UoL</w:t>
      </w:r>
      <w:r w:rsidR="00FC72F4" w:rsidRPr="005B6CC7">
        <w:rPr>
          <w:rFonts w:ascii="Book Antiqua" w:hAnsi="Book Antiqua"/>
          <w:sz w:val="23"/>
          <w:szCs w:val="23"/>
        </w:rPr>
        <w:t>, §23</w:t>
      </w:r>
      <w:r w:rsidR="005E6AE1">
        <w:rPr>
          <w:rFonts w:ascii="Book Antiqua" w:hAnsi="Book Antiqua"/>
          <w:sz w:val="23"/>
          <w:szCs w:val="23"/>
        </w:rPr>
        <w:t xml:space="preserve"> </w:t>
      </w:r>
      <w:r w:rsidR="005E6AE1">
        <w:rPr>
          <w:rFonts w:ascii="Book Antiqua" w:hAnsi="Book Antiqua"/>
          <w:b/>
          <w:bCs/>
          <w:sz w:val="23"/>
          <w:szCs w:val="23"/>
        </w:rPr>
        <w:t>[AB/14/</w:t>
      </w:r>
      <w:r w:rsidR="000C7A14">
        <w:rPr>
          <w:rFonts w:ascii="Book Antiqua" w:hAnsi="Book Antiqua"/>
          <w:b/>
          <w:bCs/>
          <w:sz w:val="23"/>
          <w:szCs w:val="23"/>
        </w:rPr>
        <w:t>411</w:t>
      </w:r>
      <w:r w:rsidR="005E6AE1">
        <w:rPr>
          <w:rFonts w:ascii="Book Antiqua" w:hAnsi="Book Antiqua"/>
          <w:b/>
          <w:bCs/>
          <w:sz w:val="23"/>
          <w:szCs w:val="23"/>
        </w:rPr>
        <w:t>]</w:t>
      </w:r>
      <w:r w:rsidR="00FC72F4" w:rsidRPr="005B6CC7">
        <w:rPr>
          <w:rFonts w:ascii="Book Antiqua" w:hAnsi="Book Antiqua"/>
          <w:sz w:val="23"/>
          <w:szCs w:val="23"/>
        </w:rPr>
        <w:t>)</w:t>
      </w:r>
      <w:r w:rsidR="005A2F08" w:rsidRPr="005B6CC7">
        <w:rPr>
          <w:rFonts w:ascii="Book Antiqua" w:hAnsi="Book Antiqua"/>
          <w:sz w:val="23"/>
          <w:szCs w:val="23"/>
        </w:rPr>
        <w:t xml:space="preserve">. </w:t>
      </w:r>
    </w:p>
    <w:p w14:paraId="65BF2942" w14:textId="529F4BE0" w:rsidR="00B56821" w:rsidRPr="00265E6B" w:rsidRDefault="003378C5" w:rsidP="00DC06E2">
      <w:pPr>
        <w:tabs>
          <w:tab w:val="left" w:pos="1701"/>
        </w:tabs>
        <w:spacing w:line="360" w:lineRule="auto"/>
        <w:ind w:left="1701"/>
        <w:jc w:val="both"/>
        <w:rPr>
          <w:rFonts w:ascii="Book Antiqua" w:hAnsi="Book Antiqua"/>
          <w:sz w:val="23"/>
          <w:szCs w:val="23"/>
        </w:rPr>
      </w:pPr>
      <w:r>
        <w:rPr>
          <w:rFonts w:ascii="Book Antiqua" w:hAnsi="Book Antiqua"/>
          <w:sz w:val="23"/>
          <w:szCs w:val="23"/>
        </w:rPr>
        <w:t xml:space="preserve">In relation to nuisance, Direct Action on the Land </w:t>
      </w:r>
      <w:r w:rsidRPr="003378C5">
        <w:rPr>
          <w:rFonts w:ascii="Book Antiqua" w:hAnsi="Book Antiqua"/>
          <w:sz w:val="23"/>
          <w:szCs w:val="23"/>
        </w:rPr>
        <w:t xml:space="preserve">would also amount to an undue and substantial interference with the </w:t>
      </w:r>
      <w:r w:rsidR="000217FD">
        <w:rPr>
          <w:rFonts w:ascii="Book Antiqua" w:hAnsi="Book Antiqua"/>
          <w:sz w:val="23"/>
          <w:szCs w:val="23"/>
        </w:rPr>
        <w:t>University’s</w:t>
      </w:r>
      <w:r w:rsidRPr="003378C5">
        <w:rPr>
          <w:rFonts w:ascii="Book Antiqua" w:hAnsi="Book Antiqua"/>
          <w:sz w:val="23"/>
          <w:szCs w:val="23"/>
        </w:rPr>
        <w:t xml:space="preserve"> enjoyment of the Land</w:t>
      </w:r>
      <w:r w:rsidR="002D71A8">
        <w:rPr>
          <w:rFonts w:ascii="Book Antiqua" w:hAnsi="Book Antiqua"/>
          <w:sz w:val="23"/>
          <w:szCs w:val="23"/>
        </w:rPr>
        <w:t xml:space="preserve"> even if the Defendants were not on the Land – e.g. by directly b</w:t>
      </w:r>
      <w:r w:rsidR="008A2C45">
        <w:rPr>
          <w:rFonts w:ascii="Book Antiqua" w:hAnsi="Book Antiqua"/>
          <w:sz w:val="23"/>
          <w:szCs w:val="23"/>
        </w:rPr>
        <w:t xml:space="preserve">locking </w:t>
      </w:r>
      <w:r w:rsidR="002D71A8">
        <w:rPr>
          <w:rFonts w:ascii="Book Antiqua" w:hAnsi="Book Antiqua"/>
          <w:sz w:val="23"/>
          <w:szCs w:val="23"/>
        </w:rPr>
        <w:t xml:space="preserve">the </w:t>
      </w:r>
      <w:r w:rsidR="008A2C45">
        <w:rPr>
          <w:rFonts w:ascii="Book Antiqua" w:hAnsi="Book Antiqua"/>
          <w:sz w:val="23"/>
          <w:szCs w:val="23"/>
        </w:rPr>
        <w:t xml:space="preserve">access </w:t>
      </w:r>
      <w:r w:rsidR="002D71A8">
        <w:rPr>
          <w:rFonts w:ascii="Book Antiqua" w:hAnsi="Book Antiqua"/>
          <w:sz w:val="23"/>
          <w:szCs w:val="23"/>
        </w:rPr>
        <w:t>of others</w:t>
      </w:r>
      <w:r w:rsidR="00E84160">
        <w:rPr>
          <w:rFonts w:ascii="Book Antiqua" w:hAnsi="Book Antiqua"/>
          <w:sz w:val="23"/>
          <w:szCs w:val="23"/>
        </w:rPr>
        <w:t xml:space="preserve"> onto the Claimant’s land: </w:t>
      </w:r>
      <w:r w:rsidR="006C6555" w:rsidRPr="006C6555">
        <w:rPr>
          <w:rFonts w:ascii="Book Antiqua" w:hAnsi="Book Antiqua"/>
          <w:u w:val="single"/>
        </w:rPr>
        <w:t>HS2 v Persons Unknown</w:t>
      </w:r>
      <w:r w:rsidR="006C6555" w:rsidRPr="008975B1">
        <w:rPr>
          <w:rFonts w:ascii="Book Antiqua" w:hAnsi="Book Antiqua"/>
          <w:i/>
          <w:iCs/>
        </w:rPr>
        <w:t xml:space="preserve"> </w:t>
      </w:r>
      <w:r w:rsidR="006C6555" w:rsidRPr="008975B1">
        <w:rPr>
          <w:rFonts w:ascii="Book Antiqua" w:hAnsi="Book Antiqua"/>
        </w:rPr>
        <w:t>[2022] EWHC 2360 (KB), §§85</w:t>
      </w:r>
      <w:r w:rsidR="006C6555">
        <w:rPr>
          <w:rFonts w:ascii="Book Antiqua" w:hAnsi="Book Antiqua"/>
        </w:rPr>
        <w:t>-86</w:t>
      </w:r>
      <w:r w:rsidR="006C6555" w:rsidRPr="008975B1">
        <w:rPr>
          <w:rFonts w:ascii="Book Antiqua" w:hAnsi="Book Antiqua"/>
        </w:rPr>
        <w:t xml:space="preserve"> (</w:t>
      </w:r>
      <w:r w:rsidR="006C6555">
        <w:rPr>
          <w:rFonts w:ascii="Book Antiqua" w:hAnsi="Book Antiqua"/>
        </w:rPr>
        <w:t xml:space="preserve">Julian </w:t>
      </w:r>
      <w:r w:rsidR="006C6555" w:rsidRPr="008975B1">
        <w:rPr>
          <w:rFonts w:ascii="Book Antiqua" w:hAnsi="Book Antiqua"/>
        </w:rPr>
        <w:t>Knowles J)</w:t>
      </w:r>
      <w:r w:rsidR="006C6555">
        <w:rPr>
          <w:rFonts w:ascii="Book Antiqua" w:hAnsi="Book Antiqua"/>
        </w:rPr>
        <w:t>.</w:t>
      </w:r>
      <w:r w:rsidR="002D71A8">
        <w:rPr>
          <w:rFonts w:ascii="Book Antiqua" w:hAnsi="Book Antiqua"/>
          <w:sz w:val="23"/>
          <w:szCs w:val="23"/>
        </w:rPr>
        <w:t xml:space="preserve"> </w:t>
      </w:r>
      <w:r w:rsidR="008A2C45">
        <w:rPr>
          <w:rFonts w:ascii="Book Antiqua" w:hAnsi="Book Antiqua"/>
          <w:sz w:val="23"/>
          <w:szCs w:val="23"/>
        </w:rPr>
        <w:t xml:space="preserve"> </w:t>
      </w:r>
      <w:r w:rsidR="00DC06E2">
        <w:rPr>
          <w:rFonts w:ascii="Book Antiqua" w:hAnsi="Book Antiqua"/>
          <w:sz w:val="23"/>
          <w:szCs w:val="23"/>
        </w:rPr>
        <w:t xml:space="preserve"> </w:t>
      </w:r>
      <w:r w:rsidR="00265E6B">
        <w:rPr>
          <w:rFonts w:ascii="Book Antiqua" w:hAnsi="Book Antiqua"/>
          <w:sz w:val="23"/>
          <w:szCs w:val="23"/>
        </w:rPr>
        <w:t xml:space="preserve"> </w:t>
      </w:r>
      <w:r w:rsidR="00822FE6" w:rsidRPr="00265E6B">
        <w:rPr>
          <w:rFonts w:ascii="Book Antiqua" w:hAnsi="Book Antiqua"/>
          <w:sz w:val="23"/>
          <w:szCs w:val="23"/>
        </w:rPr>
        <w:t xml:space="preserve"> </w:t>
      </w:r>
      <w:r w:rsidR="00EF2977" w:rsidRPr="00265E6B">
        <w:rPr>
          <w:rFonts w:ascii="Book Antiqua" w:hAnsi="Book Antiqua"/>
          <w:sz w:val="23"/>
          <w:szCs w:val="23"/>
        </w:rPr>
        <w:t xml:space="preserve"> </w:t>
      </w:r>
      <w:r w:rsidR="007E15E8" w:rsidRPr="00265E6B">
        <w:rPr>
          <w:rFonts w:ascii="Book Antiqua" w:hAnsi="Book Antiqua"/>
          <w:sz w:val="23"/>
          <w:szCs w:val="23"/>
        </w:rPr>
        <w:t xml:space="preserve"> </w:t>
      </w:r>
      <w:r w:rsidR="00210F73" w:rsidRPr="00265E6B">
        <w:rPr>
          <w:rFonts w:ascii="Book Antiqua" w:hAnsi="Book Antiqua"/>
          <w:sz w:val="23"/>
          <w:szCs w:val="23"/>
        </w:rPr>
        <w:t xml:space="preserve"> </w:t>
      </w:r>
      <w:r w:rsidR="00987D1E" w:rsidRPr="00265E6B">
        <w:rPr>
          <w:rFonts w:ascii="Book Antiqua" w:hAnsi="Book Antiqua"/>
          <w:sz w:val="23"/>
          <w:szCs w:val="23"/>
        </w:rPr>
        <w:t xml:space="preserve"> </w:t>
      </w:r>
    </w:p>
    <w:p w14:paraId="56FCBAAC" w14:textId="023E77C3" w:rsidR="005B6CC7" w:rsidRDefault="005B6CC7" w:rsidP="00624586">
      <w:pPr>
        <w:pStyle w:val="ListParagraph"/>
        <w:numPr>
          <w:ilvl w:val="0"/>
          <w:numId w:val="3"/>
        </w:numPr>
        <w:tabs>
          <w:tab w:val="left" w:pos="1701"/>
        </w:tabs>
        <w:spacing w:line="360" w:lineRule="auto"/>
        <w:ind w:left="567" w:hanging="567"/>
        <w:contextualSpacing w:val="0"/>
        <w:jc w:val="both"/>
        <w:rPr>
          <w:rFonts w:ascii="Book Antiqua" w:hAnsi="Book Antiqua"/>
          <w:sz w:val="23"/>
          <w:szCs w:val="23"/>
        </w:rPr>
      </w:pPr>
      <w:r>
        <w:rPr>
          <w:rFonts w:ascii="Book Antiqua" w:hAnsi="Book Antiqua"/>
          <w:b/>
          <w:bCs/>
          <w:sz w:val="23"/>
          <w:szCs w:val="23"/>
        </w:rPr>
        <w:t xml:space="preserve">Secondly, </w:t>
      </w:r>
      <w:r>
        <w:rPr>
          <w:rFonts w:ascii="Book Antiqua" w:hAnsi="Book Antiqua"/>
          <w:sz w:val="23"/>
          <w:szCs w:val="23"/>
        </w:rPr>
        <w:t>t</w:t>
      </w:r>
      <w:r w:rsidR="00B56821" w:rsidRPr="005B6CC7">
        <w:rPr>
          <w:rFonts w:ascii="Book Antiqua" w:hAnsi="Book Antiqua"/>
          <w:sz w:val="23"/>
          <w:szCs w:val="23"/>
        </w:rPr>
        <w:t xml:space="preserve">he </w:t>
      </w:r>
      <w:r w:rsidR="000217FD" w:rsidRPr="005B6CC7">
        <w:rPr>
          <w:rFonts w:ascii="Book Antiqua" w:hAnsi="Book Antiqua"/>
          <w:sz w:val="23"/>
          <w:szCs w:val="23"/>
        </w:rPr>
        <w:t>University</w:t>
      </w:r>
      <w:r w:rsidR="00B56821" w:rsidRPr="005B6CC7">
        <w:rPr>
          <w:rFonts w:ascii="Book Antiqua" w:hAnsi="Book Antiqua"/>
          <w:sz w:val="23"/>
          <w:szCs w:val="23"/>
        </w:rPr>
        <w:t xml:space="preserve"> ha</w:t>
      </w:r>
      <w:r w:rsidR="000217FD" w:rsidRPr="005B6CC7">
        <w:rPr>
          <w:rFonts w:ascii="Book Antiqua" w:hAnsi="Book Antiqua"/>
          <w:sz w:val="23"/>
          <w:szCs w:val="23"/>
        </w:rPr>
        <w:t>s</w:t>
      </w:r>
      <w:r w:rsidR="00B56821" w:rsidRPr="005B6CC7">
        <w:rPr>
          <w:rFonts w:ascii="Book Antiqua" w:hAnsi="Book Antiqua"/>
          <w:sz w:val="23"/>
          <w:szCs w:val="23"/>
        </w:rPr>
        <w:t xml:space="preserve"> complied (and will continue to comply) with </w:t>
      </w:r>
      <w:r>
        <w:rPr>
          <w:rFonts w:ascii="Book Antiqua" w:hAnsi="Book Antiqua"/>
          <w:sz w:val="23"/>
          <w:szCs w:val="23"/>
        </w:rPr>
        <w:t>its</w:t>
      </w:r>
      <w:r w:rsidR="00B56821" w:rsidRPr="005B6CC7">
        <w:rPr>
          <w:rFonts w:ascii="Book Antiqua" w:hAnsi="Book Antiqua"/>
          <w:sz w:val="23"/>
          <w:szCs w:val="23"/>
        </w:rPr>
        <w:t xml:space="preserve"> duty of full and frank disclosure.</w:t>
      </w:r>
      <w:r w:rsidR="00A13EE4">
        <w:rPr>
          <w:rFonts w:ascii="Book Antiqua" w:hAnsi="Book Antiqua"/>
          <w:sz w:val="23"/>
          <w:szCs w:val="23"/>
        </w:rPr>
        <w:t xml:space="preserve"> </w:t>
      </w:r>
      <w:r w:rsidR="00744586">
        <w:rPr>
          <w:rFonts w:ascii="Book Antiqua" w:hAnsi="Book Antiqua"/>
          <w:sz w:val="23"/>
          <w:szCs w:val="23"/>
        </w:rPr>
        <w:t xml:space="preserve">This is considered further below. </w:t>
      </w:r>
    </w:p>
    <w:p w14:paraId="197F544D" w14:textId="7CA32F54" w:rsidR="005B6CC7" w:rsidRDefault="005B6CC7" w:rsidP="00624586">
      <w:pPr>
        <w:pStyle w:val="ListParagraph"/>
        <w:numPr>
          <w:ilvl w:val="0"/>
          <w:numId w:val="3"/>
        </w:numPr>
        <w:tabs>
          <w:tab w:val="left" w:pos="1701"/>
        </w:tabs>
        <w:spacing w:line="360" w:lineRule="auto"/>
        <w:ind w:left="567" w:hanging="567"/>
        <w:contextualSpacing w:val="0"/>
        <w:jc w:val="both"/>
        <w:rPr>
          <w:rFonts w:ascii="Book Antiqua" w:hAnsi="Book Antiqua"/>
          <w:sz w:val="23"/>
          <w:szCs w:val="23"/>
        </w:rPr>
      </w:pPr>
      <w:r w:rsidRPr="005B6CC7">
        <w:rPr>
          <w:rFonts w:ascii="Book Antiqua" w:hAnsi="Book Antiqua"/>
          <w:b/>
          <w:bCs/>
          <w:sz w:val="23"/>
          <w:szCs w:val="23"/>
        </w:rPr>
        <w:t>T</w:t>
      </w:r>
      <w:r>
        <w:rPr>
          <w:rFonts w:ascii="Book Antiqua" w:hAnsi="Book Antiqua"/>
          <w:b/>
          <w:bCs/>
          <w:sz w:val="23"/>
          <w:szCs w:val="23"/>
        </w:rPr>
        <w:t xml:space="preserve">hirdly, </w:t>
      </w:r>
      <w:r>
        <w:rPr>
          <w:rFonts w:ascii="Book Antiqua" w:hAnsi="Book Antiqua"/>
          <w:sz w:val="23"/>
          <w:szCs w:val="23"/>
        </w:rPr>
        <w:t>t</w:t>
      </w:r>
      <w:r w:rsidR="00B56821" w:rsidRPr="005B6CC7">
        <w:rPr>
          <w:rFonts w:ascii="Book Antiqua" w:hAnsi="Book Antiqua"/>
          <w:sz w:val="23"/>
          <w:szCs w:val="23"/>
        </w:rPr>
        <w:t>here is sufficient evidence to prove the claim</w:t>
      </w:r>
      <w:r w:rsidR="00411744" w:rsidRPr="005B6CC7">
        <w:rPr>
          <w:rFonts w:ascii="Book Antiqua" w:hAnsi="Book Antiqua"/>
          <w:sz w:val="23"/>
          <w:szCs w:val="23"/>
        </w:rPr>
        <w:t xml:space="preserve">. </w:t>
      </w:r>
      <w:r w:rsidR="005E4283" w:rsidRPr="005B6CC7">
        <w:rPr>
          <w:rFonts w:ascii="Book Antiqua" w:hAnsi="Book Antiqua"/>
          <w:sz w:val="23"/>
          <w:szCs w:val="23"/>
        </w:rPr>
        <w:t xml:space="preserve">There is a real and imminent risk of further Direct Action by the Defendants for the reasons set out </w:t>
      </w:r>
      <w:r w:rsidR="005E4283" w:rsidRPr="00C05D45">
        <w:rPr>
          <w:rFonts w:ascii="Book Antiqua" w:hAnsi="Book Antiqua"/>
          <w:sz w:val="23"/>
          <w:szCs w:val="23"/>
        </w:rPr>
        <w:t xml:space="preserve">at </w:t>
      </w:r>
      <w:r w:rsidR="005E4283" w:rsidRPr="00244DC2">
        <w:rPr>
          <w:rFonts w:ascii="Book Antiqua" w:hAnsi="Book Antiqua"/>
          <w:sz w:val="23"/>
          <w:szCs w:val="23"/>
        </w:rPr>
        <w:t>§§</w:t>
      </w:r>
      <w:r w:rsidR="008541F3" w:rsidRPr="00244DC2">
        <w:rPr>
          <w:rFonts w:ascii="Book Antiqua" w:hAnsi="Book Antiqua"/>
          <w:sz w:val="23"/>
          <w:szCs w:val="23"/>
        </w:rPr>
        <w:t>2</w:t>
      </w:r>
      <w:r w:rsidR="00244DC2" w:rsidRPr="00244DC2">
        <w:rPr>
          <w:rFonts w:ascii="Book Antiqua" w:hAnsi="Book Antiqua"/>
          <w:sz w:val="23"/>
          <w:szCs w:val="23"/>
        </w:rPr>
        <w:t>3</w:t>
      </w:r>
      <w:r w:rsidR="005E4283" w:rsidRPr="00244DC2">
        <w:rPr>
          <w:rFonts w:ascii="Book Antiqua" w:hAnsi="Book Antiqua"/>
          <w:sz w:val="23"/>
          <w:szCs w:val="23"/>
        </w:rPr>
        <w:t>-</w:t>
      </w:r>
      <w:r w:rsidR="00244DC2" w:rsidRPr="00244DC2">
        <w:rPr>
          <w:rFonts w:ascii="Book Antiqua" w:hAnsi="Book Antiqua"/>
          <w:sz w:val="23"/>
          <w:szCs w:val="23"/>
        </w:rPr>
        <w:t>40</w:t>
      </w:r>
      <w:r w:rsidR="005E4283" w:rsidRPr="00244DC2">
        <w:rPr>
          <w:rFonts w:ascii="Book Antiqua" w:hAnsi="Book Antiqua"/>
          <w:sz w:val="23"/>
          <w:szCs w:val="23"/>
        </w:rPr>
        <w:t xml:space="preserve"> above</w:t>
      </w:r>
      <w:r w:rsidR="003113F1" w:rsidRPr="00244DC2">
        <w:rPr>
          <w:rFonts w:ascii="Book Antiqua" w:hAnsi="Book Antiqua"/>
          <w:sz w:val="23"/>
          <w:szCs w:val="23"/>
        </w:rPr>
        <w:t>,</w:t>
      </w:r>
      <w:r w:rsidR="005E4283" w:rsidRPr="005B6CC7">
        <w:rPr>
          <w:rFonts w:ascii="Book Antiqua" w:hAnsi="Book Antiqua"/>
          <w:b/>
          <w:bCs/>
          <w:sz w:val="23"/>
          <w:szCs w:val="23"/>
        </w:rPr>
        <w:t xml:space="preserve"> </w:t>
      </w:r>
      <w:r w:rsidR="005E4283" w:rsidRPr="005B6CC7">
        <w:rPr>
          <w:rFonts w:ascii="Book Antiqua" w:hAnsi="Book Antiqua"/>
          <w:sz w:val="23"/>
          <w:szCs w:val="23"/>
        </w:rPr>
        <w:t xml:space="preserve">in Rampton 1, </w:t>
      </w:r>
      <w:r w:rsidR="00510F4B" w:rsidRPr="005B6CC7">
        <w:rPr>
          <w:rFonts w:ascii="Book Antiqua" w:hAnsi="Book Antiqua"/>
          <w:sz w:val="23"/>
          <w:szCs w:val="23"/>
        </w:rPr>
        <w:t>§</w:t>
      </w:r>
      <w:r w:rsidR="00F842D9" w:rsidRPr="005B6CC7">
        <w:rPr>
          <w:rFonts w:ascii="Book Antiqua" w:hAnsi="Book Antiqua"/>
          <w:sz w:val="23"/>
          <w:szCs w:val="23"/>
        </w:rPr>
        <w:t>§</w:t>
      </w:r>
      <w:r w:rsidR="00510F4B" w:rsidRPr="005B6CC7">
        <w:rPr>
          <w:rFonts w:ascii="Book Antiqua" w:hAnsi="Book Antiqua"/>
          <w:sz w:val="23"/>
          <w:szCs w:val="23"/>
        </w:rPr>
        <w:t>134-</w:t>
      </w:r>
      <w:r w:rsidR="00F842D9" w:rsidRPr="005B6CC7">
        <w:rPr>
          <w:rFonts w:ascii="Book Antiqua" w:hAnsi="Book Antiqua"/>
          <w:sz w:val="23"/>
          <w:szCs w:val="23"/>
        </w:rPr>
        <w:t>152</w:t>
      </w:r>
      <w:r w:rsidR="002E101A">
        <w:rPr>
          <w:rFonts w:ascii="Book Antiqua" w:hAnsi="Book Antiqua"/>
          <w:sz w:val="23"/>
          <w:szCs w:val="23"/>
        </w:rPr>
        <w:t xml:space="preserve"> </w:t>
      </w:r>
      <w:r w:rsidR="002E101A">
        <w:rPr>
          <w:rFonts w:ascii="Book Antiqua" w:hAnsi="Book Antiqua"/>
          <w:b/>
          <w:bCs/>
          <w:sz w:val="23"/>
          <w:szCs w:val="23"/>
        </w:rPr>
        <w:t>[</w:t>
      </w:r>
      <w:r w:rsidR="00211D7C">
        <w:rPr>
          <w:rFonts w:ascii="Book Antiqua" w:hAnsi="Book Antiqua"/>
          <w:b/>
          <w:bCs/>
          <w:sz w:val="23"/>
          <w:szCs w:val="23"/>
        </w:rPr>
        <w:t>HB</w:t>
      </w:r>
      <w:r w:rsidR="002E101A">
        <w:rPr>
          <w:rFonts w:ascii="Book Antiqua" w:hAnsi="Book Antiqua"/>
          <w:b/>
          <w:bCs/>
          <w:sz w:val="23"/>
          <w:szCs w:val="23"/>
        </w:rPr>
        <w:t>/</w:t>
      </w:r>
      <w:r w:rsidR="001C7CB6">
        <w:rPr>
          <w:rFonts w:ascii="Book Antiqua" w:hAnsi="Book Antiqua"/>
          <w:b/>
          <w:bCs/>
          <w:sz w:val="23"/>
          <w:szCs w:val="23"/>
        </w:rPr>
        <w:t>6/</w:t>
      </w:r>
      <w:r w:rsidR="002E101A">
        <w:rPr>
          <w:rFonts w:ascii="Book Antiqua" w:hAnsi="Book Antiqua"/>
          <w:b/>
          <w:bCs/>
          <w:sz w:val="23"/>
          <w:szCs w:val="23"/>
        </w:rPr>
        <w:t>73</w:t>
      </w:r>
      <w:r w:rsidR="00A31463">
        <w:rPr>
          <w:rFonts w:ascii="Book Antiqua" w:hAnsi="Book Antiqua"/>
          <w:b/>
          <w:bCs/>
          <w:sz w:val="23"/>
          <w:szCs w:val="23"/>
        </w:rPr>
        <w:t>(</w:t>
      </w:r>
      <w:r w:rsidR="001C7CB6">
        <w:rPr>
          <w:rFonts w:ascii="Book Antiqua" w:hAnsi="Book Antiqua"/>
          <w:b/>
          <w:bCs/>
          <w:sz w:val="23"/>
          <w:szCs w:val="23"/>
        </w:rPr>
        <w:t>PDF75</w:t>
      </w:r>
      <w:r w:rsidR="00A31463">
        <w:rPr>
          <w:rFonts w:ascii="Book Antiqua" w:hAnsi="Book Antiqua"/>
          <w:b/>
          <w:bCs/>
          <w:sz w:val="23"/>
          <w:szCs w:val="23"/>
        </w:rPr>
        <w:t>)</w:t>
      </w:r>
      <w:r w:rsidR="001C7CB6">
        <w:rPr>
          <w:rFonts w:ascii="Book Antiqua" w:hAnsi="Book Antiqua"/>
          <w:b/>
          <w:bCs/>
          <w:sz w:val="23"/>
          <w:szCs w:val="23"/>
        </w:rPr>
        <w:t>]</w:t>
      </w:r>
      <w:r w:rsidR="003113F1">
        <w:rPr>
          <w:rFonts w:ascii="Book Antiqua" w:hAnsi="Book Antiqua"/>
          <w:b/>
          <w:bCs/>
          <w:sz w:val="23"/>
          <w:szCs w:val="23"/>
        </w:rPr>
        <w:t xml:space="preserve"> </w:t>
      </w:r>
      <w:r w:rsidR="003113F1">
        <w:rPr>
          <w:rFonts w:ascii="Book Antiqua" w:hAnsi="Book Antiqua"/>
          <w:sz w:val="23"/>
          <w:szCs w:val="23"/>
        </w:rPr>
        <w:t>and in Rampton 3,</w:t>
      </w:r>
      <w:r w:rsidR="001A0163" w:rsidRPr="001A0163">
        <w:rPr>
          <w:rFonts w:ascii="Book Antiqua" w:hAnsi="Book Antiqua"/>
          <w:sz w:val="23"/>
          <w:szCs w:val="23"/>
        </w:rPr>
        <w:t xml:space="preserve"> </w:t>
      </w:r>
      <w:r w:rsidR="001A0163" w:rsidRPr="005B6CC7">
        <w:rPr>
          <w:rFonts w:ascii="Book Antiqua" w:hAnsi="Book Antiqua"/>
          <w:sz w:val="23"/>
          <w:szCs w:val="23"/>
        </w:rPr>
        <w:t>§§</w:t>
      </w:r>
      <w:r w:rsidR="001A0163">
        <w:rPr>
          <w:rFonts w:ascii="Book Antiqua" w:hAnsi="Book Antiqua"/>
          <w:sz w:val="23"/>
          <w:szCs w:val="23"/>
        </w:rPr>
        <w:t>50-52</w:t>
      </w:r>
      <w:r w:rsidR="008541F3">
        <w:rPr>
          <w:rFonts w:ascii="Book Antiqua" w:hAnsi="Book Antiqua"/>
          <w:b/>
          <w:bCs/>
          <w:sz w:val="23"/>
          <w:szCs w:val="23"/>
        </w:rPr>
        <w:t xml:space="preserve"> [</w:t>
      </w:r>
      <w:r w:rsidR="00E4239C">
        <w:rPr>
          <w:rFonts w:ascii="Book Antiqua" w:hAnsi="Book Antiqua"/>
          <w:b/>
          <w:bCs/>
          <w:sz w:val="23"/>
          <w:szCs w:val="23"/>
        </w:rPr>
        <w:t>SB/7/765-766</w:t>
      </w:r>
      <w:r w:rsidR="00A31463">
        <w:rPr>
          <w:rFonts w:ascii="Book Antiqua" w:hAnsi="Book Antiqua"/>
          <w:b/>
          <w:bCs/>
          <w:sz w:val="23"/>
          <w:szCs w:val="23"/>
        </w:rPr>
        <w:t>(</w:t>
      </w:r>
      <w:r w:rsidR="001C7CB6">
        <w:rPr>
          <w:rFonts w:ascii="Book Antiqua" w:hAnsi="Book Antiqua"/>
          <w:b/>
          <w:bCs/>
          <w:sz w:val="23"/>
          <w:szCs w:val="23"/>
        </w:rPr>
        <w:t>PDF127-128</w:t>
      </w:r>
      <w:r w:rsidR="00A31463">
        <w:rPr>
          <w:rFonts w:ascii="Book Antiqua" w:hAnsi="Book Antiqua"/>
          <w:b/>
          <w:bCs/>
          <w:sz w:val="23"/>
          <w:szCs w:val="23"/>
        </w:rPr>
        <w:t>)</w:t>
      </w:r>
      <w:r w:rsidR="001C7CB6">
        <w:rPr>
          <w:rFonts w:ascii="Book Antiqua" w:hAnsi="Book Antiqua"/>
          <w:b/>
          <w:bCs/>
          <w:sz w:val="23"/>
          <w:szCs w:val="23"/>
        </w:rPr>
        <w:t>]</w:t>
      </w:r>
      <w:r w:rsidR="005E4283" w:rsidRPr="005B6CC7">
        <w:rPr>
          <w:rFonts w:ascii="Book Antiqua" w:hAnsi="Book Antiqua"/>
          <w:sz w:val="23"/>
          <w:szCs w:val="23"/>
        </w:rPr>
        <w:t>.</w:t>
      </w:r>
      <w:r w:rsidR="00125CEA" w:rsidRPr="005B6CC7">
        <w:rPr>
          <w:rFonts w:ascii="Book Antiqua" w:hAnsi="Book Antiqua"/>
          <w:sz w:val="23"/>
          <w:szCs w:val="23"/>
        </w:rPr>
        <w:t xml:space="preserve"> The evidence set out in Rampton 1,</w:t>
      </w:r>
      <w:r w:rsidR="00AC1D7D" w:rsidRPr="005B6CC7">
        <w:rPr>
          <w:rFonts w:ascii="Book Antiqua" w:hAnsi="Book Antiqua"/>
          <w:sz w:val="23"/>
          <w:szCs w:val="23"/>
        </w:rPr>
        <w:t xml:space="preserve"> </w:t>
      </w:r>
      <w:r w:rsidR="003068DB" w:rsidRPr="005B6CC7">
        <w:rPr>
          <w:rFonts w:ascii="Book Antiqua" w:hAnsi="Book Antiqua"/>
          <w:sz w:val="23"/>
          <w:szCs w:val="23"/>
        </w:rPr>
        <w:t>§§</w:t>
      </w:r>
      <w:r w:rsidR="00AC1D7D" w:rsidRPr="005B6CC7">
        <w:rPr>
          <w:rFonts w:ascii="Book Antiqua" w:hAnsi="Book Antiqua"/>
          <w:sz w:val="23"/>
          <w:szCs w:val="23"/>
        </w:rPr>
        <w:t>12-</w:t>
      </w:r>
      <w:r w:rsidR="003068DB" w:rsidRPr="005B6CC7">
        <w:rPr>
          <w:rFonts w:ascii="Book Antiqua" w:hAnsi="Book Antiqua"/>
          <w:sz w:val="23"/>
          <w:szCs w:val="23"/>
        </w:rPr>
        <w:t>118</w:t>
      </w:r>
      <w:r w:rsidR="002E101A">
        <w:rPr>
          <w:rFonts w:ascii="Book Antiqua" w:hAnsi="Book Antiqua"/>
          <w:sz w:val="23"/>
          <w:szCs w:val="23"/>
        </w:rPr>
        <w:t xml:space="preserve"> </w:t>
      </w:r>
      <w:r w:rsidR="002E101A">
        <w:rPr>
          <w:rFonts w:ascii="Book Antiqua" w:hAnsi="Book Antiqua"/>
          <w:b/>
          <w:bCs/>
          <w:sz w:val="23"/>
          <w:szCs w:val="23"/>
        </w:rPr>
        <w:t>[</w:t>
      </w:r>
      <w:r w:rsidR="00211D7C">
        <w:rPr>
          <w:rFonts w:ascii="Book Antiqua" w:hAnsi="Book Antiqua"/>
          <w:b/>
          <w:bCs/>
          <w:sz w:val="23"/>
          <w:szCs w:val="23"/>
        </w:rPr>
        <w:t>HB</w:t>
      </w:r>
      <w:r w:rsidR="002E101A">
        <w:rPr>
          <w:rFonts w:ascii="Book Antiqua" w:hAnsi="Book Antiqua"/>
          <w:b/>
          <w:bCs/>
          <w:sz w:val="23"/>
          <w:szCs w:val="23"/>
        </w:rPr>
        <w:t>/</w:t>
      </w:r>
      <w:r w:rsidR="001C7CB6">
        <w:rPr>
          <w:rFonts w:ascii="Book Antiqua" w:hAnsi="Book Antiqua"/>
          <w:b/>
          <w:bCs/>
          <w:sz w:val="23"/>
          <w:szCs w:val="23"/>
        </w:rPr>
        <w:t>6/</w:t>
      </w:r>
      <w:r w:rsidR="00514C4F">
        <w:rPr>
          <w:rFonts w:ascii="Book Antiqua" w:hAnsi="Book Antiqua"/>
          <w:b/>
          <w:bCs/>
          <w:sz w:val="23"/>
          <w:szCs w:val="23"/>
        </w:rPr>
        <w:t>46</w:t>
      </w:r>
      <w:r w:rsidR="00A31463">
        <w:rPr>
          <w:rFonts w:ascii="Book Antiqua" w:hAnsi="Book Antiqua"/>
          <w:b/>
          <w:bCs/>
          <w:sz w:val="23"/>
          <w:szCs w:val="23"/>
        </w:rPr>
        <w:t>(</w:t>
      </w:r>
      <w:r w:rsidR="001C7CB6">
        <w:rPr>
          <w:rFonts w:ascii="Book Antiqua" w:hAnsi="Book Antiqua"/>
          <w:b/>
          <w:bCs/>
          <w:sz w:val="23"/>
          <w:szCs w:val="23"/>
        </w:rPr>
        <w:t>PDF48</w:t>
      </w:r>
      <w:r w:rsidR="00A31463">
        <w:rPr>
          <w:rFonts w:ascii="Book Antiqua" w:hAnsi="Book Antiqua"/>
          <w:b/>
          <w:bCs/>
          <w:sz w:val="23"/>
          <w:szCs w:val="23"/>
        </w:rPr>
        <w:t>)</w:t>
      </w:r>
      <w:r w:rsidR="001C7CB6">
        <w:rPr>
          <w:rFonts w:ascii="Book Antiqua" w:hAnsi="Book Antiqua"/>
          <w:b/>
          <w:bCs/>
          <w:sz w:val="23"/>
          <w:szCs w:val="23"/>
        </w:rPr>
        <w:t>]</w:t>
      </w:r>
      <w:r w:rsidR="003068DB" w:rsidRPr="005B6CC7">
        <w:rPr>
          <w:rFonts w:ascii="Book Antiqua" w:hAnsi="Book Antiqua"/>
          <w:sz w:val="23"/>
          <w:szCs w:val="23"/>
        </w:rPr>
        <w:t>,</w:t>
      </w:r>
      <w:r w:rsidR="00125CEA" w:rsidRPr="005B6CC7">
        <w:rPr>
          <w:rFonts w:ascii="Book Antiqua" w:hAnsi="Book Antiqua"/>
          <w:sz w:val="23"/>
          <w:szCs w:val="23"/>
        </w:rPr>
        <w:t xml:space="preserve"> regarding the</w:t>
      </w:r>
      <w:r w:rsidR="003068DB" w:rsidRPr="005B6CC7">
        <w:rPr>
          <w:rFonts w:ascii="Book Antiqua" w:hAnsi="Book Antiqua"/>
          <w:sz w:val="23"/>
          <w:szCs w:val="23"/>
        </w:rPr>
        <w:t xml:space="preserve"> nature of the Land, the </w:t>
      </w:r>
      <w:r w:rsidR="000217FD" w:rsidRPr="005B6CC7">
        <w:rPr>
          <w:rFonts w:ascii="Book Antiqua" w:hAnsi="Book Antiqua"/>
          <w:sz w:val="23"/>
          <w:szCs w:val="23"/>
        </w:rPr>
        <w:t>University’s</w:t>
      </w:r>
      <w:r w:rsidR="003068DB" w:rsidRPr="005B6CC7">
        <w:rPr>
          <w:rFonts w:ascii="Book Antiqua" w:hAnsi="Book Antiqua"/>
          <w:sz w:val="23"/>
          <w:szCs w:val="23"/>
        </w:rPr>
        <w:t xml:space="preserve"> interest in the Land, </w:t>
      </w:r>
      <w:r w:rsidR="00552E9B" w:rsidRPr="005B6CC7">
        <w:rPr>
          <w:rFonts w:ascii="Book Antiqua" w:hAnsi="Book Antiqua"/>
          <w:sz w:val="23"/>
          <w:szCs w:val="23"/>
        </w:rPr>
        <w:t xml:space="preserve">and </w:t>
      </w:r>
      <w:r w:rsidR="003068DB" w:rsidRPr="005B6CC7">
        <w:rPr>
          <w:rFonts w:ascii="Book Antiqua" w:hAnsi="Book Antiqua"/>
          <w:sz w:val="23"/>
          <w:szCs w:val="23"/>
        </w:rPr>
        <w:t>the Defendants’ previous actions and statements</w:t>
      </w:r>
      <w:r w:rsidR="00125CEA" w:rsidRPr="005B6CC7">
        <w:rPr>
          <w:rFonts w:ascii="Book Antiqua" w:hAnsi="Book Antiqua"/>
          <w:sz w:val="23"/>
          <w:szCs w:val="23"/>
        </w:rPr>
        <w:t xml:space="preserve"> </w:t>
      </w:r>
      <w:r w:rsidR="00552E9B" w:rsidRPr="005B6CC7">
        <w:rPr>
          <w:rFonts w:ascii="Book Antiqua" w:hAnsi="Book Antiqua"/>
          <w:sz w:val="23"/>
          <w:szCs w:val="23"/>
        </w:rPr>
        <w:t xml:space="preserve">are more than sufficient evidence to prove the claim. </w:t>
      </w:r>
    </w:p>
    <w:p w14:paraId="76AF5B22" w14:textId="05CB008F" w:rsidR="001C6834" w:rsidRDefault="001C6834" w:rsidP="00A63782">
      <w:pPr>
        <w:pStyle w:val="ListParagraph"/>
        <w:numPr>
          <w:ilvl w:val="0"/>
          <w:numId w:val="3"/>
        </w:numPr>
        <w:tabs>
          <w:tab w:val="left" w:pos="1701"/>
        </w:tabs>
        <w:spacing w:line="360" w:lineRule="auto"/>
        <w:ind w:left="567" w:hanging="567"/>
        <w:contextualSpacing w:val="0"/>
        <w:jc w:val="both"/>
        <w:rPr>
          <w:rFonts w:ascii="Book Antiqua" w:hAnsi="Book Antiqua"/>
          <w:sz w:val="23"/>
          <w:szCs w:val="23"/>
        </w:rPr>
      </w:pPr>
      <w:r>
        <w:rPr>
          <w:rFonts w:ascii="Book Antiqua" w:hAnsi="Book Antiqua"/>
          <w:sz w:val="23"/>
          <w:szCs w:val="23"/>
        </w:rPr>
        <w:t xml:space="preserve">In the </w:t>
      </w:r>
      <w:r w:rsidRPr="004C33CE">
        <w:rPr>
          <w:rFonts w:ascii="Book Antiqua" w:hAnsi="Book Antiqua"/>
          <w:sz w:val="23"/>
          <w:szCs w:val="23"/>
          <w:u w:val="single"/>
        </w:rPr>
        <w:t>Fordham Judgment</w:t>
      </w:r>
      <w:r>
        <w:rPr>
          <w:rFonts w:ascii="Book Antiqua" w:hAnsi="Book Antiqua"/>
          <w:sz w:val="23"/>
          <w:szCs w:val="23"/>
        </w:rPr>
        <w:t xml:space="preserve">, </w:t>
      </w:r>
      <w:r w:rsidR="00C46AC6" w:rsidRPr="005B6CC7">
        <w:rPr>
          <w:rFonts w:ascii="Book Antiqua" w:hAnsi="Book Antiqua"/>
          <w:sz w:val="23"/>
          <w:szCs w:val="23"/>
        </w:rPr>
        <w:t>§</w:t>
      </w:r>
      <w:r w:rsidR="00C46AC6">
        <w:rPr>
          <w:rFonts w:ascii="Book Antiqua" w:hAnsi="Book Antiqua"/>
          <w:sz w:val="23"/>
          <w:szCs w:val="23"/>
        </w:rPr>
        <w:t>23, the Judge referred to the fact that the Old Schools “</w:t>
      </w:r>
      <w:r w:rsidR="00C46AC6">
        <w:rPr>
          <w:rFonts w:ascii="Book Antiqua" w:hAnsi="Book Antiqua"/>
          <w:i/>
          <w:iCs/>
          <w:sz w:val="23"/>
          <w:szCs w:val="23"/>
        </w:rPr>
        <w:t>does not feature in any of the evidenced prior incidents”</w:t>
      </w:r>
      <w:r w:rsidR="00C46AC6">
        <w:rPr>
          <w:rFonts w:ascii="Book Antiqua" w:hAnsi="Book Antiqua"/>
          <w:sz w:val="23"/>
          <w:szCs w:val="23"/>
        </w:rPr>
        <w:t>. That is no longer t</w:t>
      </w:r>
      <w:r w:rsidR="00A63782">
        <w:rPr>
          <w:rFonts w:ascii="Book Antiqua" w:hAnsi="Book Antiqua"/>
          <w:sz w:val="23"/>
          <w:szCs w:val="23"/>
        </w:rPr>
        <w:t>he case</w:t>
      </w:r>
      <w:r w:rsidR="00C46AC6">
        <w:rPr>
          <w:rFonts w:ascii="Book Antiqua" w:hAnsi="Book Antiqua"/>
          <w:sz w:val="23"/>
          <w:szCs w:val="23"/>
        </w:rPr>
        <w:t xml:space="preserve">. </w:t>
      </w:r>
      <w:r w:rsidR="00A63782">
        <w:rPr>
          <w:rFonts w:ascii="Book Antiqua" w:hAnsi="Book Antiqua"/>
          <w:sz w:val="23"/>
          <w:szCs w:val="23"/>
        </w:rPr>
        <w:t>As set out above, o</w:t>
      </w:r>
      <w:r w:rsidR="00A63782" w:rsidRPr="00A63782">
        <w:rPr>
          <w:rFonts w:ascii="Book Antiqua" w:hAnsi="Book Antiqua"/>
          <w:sz w:val="23"/>
          <w:szCs w:val="23"/>
        </w:rPr>
        <w:t>n 4 March 2025</w:t>
      </w:r>
      <w:r w:rsidR="00A63782">
        <w:rPr>
          <w:rFonts w:ascii="Book Antiqua" w:hAnsi="Book Antiqua"/>
          <w:sz w:val="23"/>
          <w:szCs w:val="23"/>
        </w:rPr>
        <w:t xml:space="preserve"> the Old Schools was vandalised by Palestine Action,</w:t>
      </w:r>
      <w:r w:rsidR="00B866BB">
        <w:rPr>
          <w:rFonts w:ascii="Book Antiqua" w:hAnsi="Book Antiqua"/>
          <w:sz w:val="23"/>
          <w:szCs w:val="23"/>
        </w:rPr>
        <w:t xml:space="preserve"> with the words </w:t>
      </w:r>
      <w:r w:rsidR="00B866BB" w:rsidRPr="00A63782">
        <w:rPr>
          <w:rFonts w:ascii="Book Antiqua" w:hAnsi="Book Antiqua"/>
          <w:sz w:val="23"/>
          <w:szCs w:val="23"/>
        </w:rPr>
        <w:t>“</w:t>
      </w:r>
      <w:r w:rsidR="00B866BB" w:rsidRPr="00A63782">
        <w:rPr>
          <w:rFonts w:ascii="Book Antiqua" w:hAnsi="Book Antiqua"/>
          <w:i/>
          <w:iCs/>
          <w:sz w:val="23"/>
          <w:szCs w:val="23"/>
        </w:rPr>
        <w:t>DIVEST</w:t>
      </w:r>
      <w:r w:rsidR="00B866BB" w:rsidRPr="00A63782">
        <w:rPr>
          <w:rFonts w:ascii="Book Antiqua" w:hAnsi="Book Antiqua"/>
          <w:sz w:val="23"/>
          <w:szCs w:val="23"/>
        </w:rPr>
        <w:t>” and “</w:t>
      </w:r>
      <w:r w:rsidR="00B866BB" w:rsidRPr="00A63782">
        <w:rPr>
          <w:rFonts w:ascii="Book Antiqua" w:hAnsi="Book Antiqua"/>
          <w:i/>
          <w:iCs/>
          <w:sz w:val="23"/>
          <w:szCs w:val="23"/>
        </w:rPr>
        <w:t>ALWAYS RESIST…FREE PALESTINE”</w:t>
      </w:r>
      <w:r w:rsidR="00B866BB">
        <w:rPr>
          <w:rFonts w:ascii="Book Antiqua" w:hAnsi="Book Antiqua"/>
          <w:i/>
          <w:iCs/>
          <w:sz w:val="23"/>
          <w:szCs w:val="23"/>
        </w:rPr>
        <w:t xml:space="preserve"> </w:t>
      </w:r>
      <w:r w:rsidR="00B866BB">
        <w:rPr>
          <w:rFonts w:ascii="Book Antiqua" w:hAnsi="Book Antiqua"/>
          <w:sz w:val="23"/>
          <w:szCs w:val="23"/>
        </w:rPr>
        <w:t>graffitied onto the building. This</w:t>
      </w:r>
      <w:r w:rsidR="00A63782">
        <w:rPr>
          <w:rFonts w:ascii="Book Antiqua" w:hAnsi="Book Antiqua"/>
          <w:sz w:val="23"/>
          <w:szCs w:val="23"/>
        </w:rPr>
        <w:t xml:space="preserve"> conduct was endorsed by Cambridge for Palestine</w:t>
      </w:r>
      <w:r w:rsidR="004250CC">
        <w:rPr>
          <w:rFonts w:ascii="Book Antiqua" w:hAnsi="Book Antiqua"/>
          <w:sz w:val="23"/>
          <w:szCs w:val="23"/>
        </w:rPr>
        <w:t xml:space="preserve"> </w:t>
      </w:r>
      <w:r w:rsidR="004250CC" w:rsidRPr="005458F5">
        <w:rPr>
          <w:rFonts w:ascii="Book Antiqua" w:hAnsi="Book Antiqua"/>
          <w:b/>
          <w:bCs/>
          <w:sz w:val="23"/>
          <w:szCs w:val="23"/>
        </w:rPr>
        <w:t>[</w:t>
      </w:r>
      <w:r w:rsidR="004329C6" w:rsidRPr="005458F5">
        <w:rPr>
          <w:rFonts w:ascii="Book Antiqua" w:hAnsi="Book Antiqua"/>
          <w:b/>
          <w:bCs/>
          <w:sz w:val="23"/>
          <w:szCs w:val="23"/>
        </w:rPr>
        <w:t>SB</w:t>
      </w:r>
      <w:r w:rsidR="00A6178B" w:rsidRPr="005458F5">
        <w:rPr>
          <w:rFonts w:ascii="Book Antiqua" w:hAnsi="Book Antiqua"/>
          <w:b/>
          <w:bCs/>
          <w:sz w:val="23"/>
          <w:szCs w:val="23"/>
        </w:rPr>
        <w:t>/7/</w:t>
      </w:r>
      <w:r w:rsidR="006642FE" w:rsidRPr="005458F5">
        <w:rPr>
          <w:rFonts w:ascii="Book Antiqua" w:hAnsi="Book Antiqua"/>
          <w:b/>
          <w:bCs/>
          <w:sz w:val="23"/>
          <w:szCs w:val="23"/>
        </w:rPr>
        <w:t>805</w:t>
      </w:r>
      <w:r w:rsidR="00933FF0">
        <w:rPr>
          <w:rFonts w:ascii="Book Antiqua" w:hAnsi="Book Antiqua"/>
          <w:b/>
          <w:bCs/>
          <w:sz w:val="23"/>
          <w:szCs w:val="23"/>
        </w:rPr>
        <w:t>(PDF167)</w:t>
      </w:r>
      <w:r w:rsidR="004250CC" w:rsidRPr="005458F5">
        <w:rPr>
          <w:rFonts w:ascii="Book Antiqua" w:hAnsi="Book Antiqua"/>
          <w:b/>
          <w:bCs/>
          <w:sz w:val="23"/>
          <w:szCs w:val="23"/>
        </w:rPr>
        <w:t>]</w:t>
      </w:r>
      <w:r w:rsidR="00A63782" w:rsidRPr="00A63782">
        <w:rPr>
          <w:rFonts w:ascii="Book Antiqua" w:hAnsi="Book Antiqua"/>
          <w:i/>
          <w:iCs/>
          <w:sz w:val="23"/>
          <w:szCs w:val="23"/>
        </w:rPr>
        <w:t xml:space="preserve">. </w:t>
      </w:r>
      <w:r w:rsidR="00B866BB">
        <w:rPr>
          <w:rFonts w:ascii="Book Antiqua" w:hAnsi="Book Antiqua"/>
          <w:sz w:val="23"/>
          <w:szCs w:val="23"/>
        </w:rPr>
        <w:t xml:space="preserve">Although </w:t>
      </w:r>
      <w:r w:rsidR="004250CC">
        <w:rPr>
          <w:rFonts w:ascii="Book Antiqua" w:hAnsi="Book Antiqua"/>
          <w:sz w:val="23"/>
          <w:szCs w:val="23"/>
        </w:rPr>
        <w:t xml:space="preserve">the </w:t>
      </w:r>
      <w:r w:rsidR="00547B76">
        <w:rPr>
          <w:rFonts w:ascii="Book Antiqua" w:hAnsi="Book Antiqua"/>
          <w:sz w:val="23"/>
          <w:szCs w:val="23"/>
        </w:rPr>
        <w:t xml:space="preserve">Draft Order </w:t>
      </w:r>
      <w:r w:rsidR="004250CC">
        <w:rPr>
          <w:rFonts w:ascii="Book Antiqua" w:hAnsi="Book Antiqua"/>
          <w:sz w:val="23"/>
          <w:szCs w:val="23"/>
        </w:rPr>
        <w:t>is not seeking to</w:t>
      </w:r>
      <w:r w:rsidR="00547B76">
        <w:rPr>
          <w:rFonts w:ascii="Book Antiqua" w:hAnsi="Book Antiqua"/>
          <w:sz w:val="23"/>
          <w:szCs w:val="23"/>
        </w:rPr>
        <w:t xml:space="preserve"> cover this</w:t>
      </w:r>
      <w:r w:rsidR="00FC435B">
        <w:rPr>
          <w:rFonts w:ascii="Book Antiqua" w:hAnsi="Book Antiqua"/>
          <w:sz w:val="23"/>
          <w:szCs w:val="23"/>
        </w:rPr>
        <w:t xml:space="preserve"> conduct, t</w:t>
      </w:r>
      <w:r w:rsidR="00BE2C0E">
        <w:rPr>
          <w:rFonts w:ascii="Book Antiqua" w:hAnsi="Book Antiqua"/>
          <w:sz w:val="23"/>
          <w:szCs w:val="23"/>
        </w:rPr>
        <w:t>his building was targeted because it</w:t>
      </w:r>
      <w:r w:rsidR="00AB118E">
        <w:rPr>
          <w:rFonts w:ascii="Book Antiqua" w:hAnsi="Book Antiqua"/>
          <w:sz w:val="23"/>
          <w:szCs w:val="23"/>
        </w:rPr>
        <w:t xml:space="preserve"> is the administrative hear</w:t>
      </w:r>
      <w:r w:rsidR="00C1274E">
        <w:rPr>
          <w:rFonts w:ascii="Book Antiqua" w:hAnsi="Book Antiqua"/>
          <w:sz w:val="23"/>
          <w:szCs w:val="23"/>
        </w:rPr>
        <w:t>t</w:t>
      </w:r>
      <w:r w:rsidR="00AB118E">
        <w:rPr>
          <w:rFonts w:ascii="Book Antiqua" w:hAnsi="Book Antiqua"/>
          <w:sz w:val="23"/>
          <w:szCs w:val="23"/>
        </w:rPr>
        <w:t xml:space="preserve"> of the University</w:t>
      </w:r>
      <w:r w:rsidR="0055698D">
        <w:rPr>
          <w:rFonts w:ascii="Book Antiqua" w:hAnsi="Book Antiqua"/>
          <w:sz w:val="23"/>
          <w:szCs w:val="23"/>
        </w:rPr>
        <w:t>: Rampton 1, §</w:t>
      </w:r>
      <w:r w:rsidR="00AB118E">
        <w:rPr>
          <w:rFonts w:ascii="Book Antiqua" w:hAnsi="Book Antiqua"/>
          <w:sz w:val="23"/>
          <w:szCs w:val="23"/>
        </w:rPr>
        <w:t>§18-</w:t>
      </w:r>
      <w:r w:rsidR="0055698D">
        <w:rPr>
          <w:rFonts w:ascii="Book Antiqua" w:hAnsi="Book Antiqua"/>
          <w:sz w:val="23"/>
          <w:szCs w:val="23"/>
        </w:rPr>
        <w:t>19</w:t>
      </w:r>
      <w:r w:rsidR="00C1274E">
        <w:rPr>
          <w:rFonts w:ascii="Book Antiqua" w:hAnsi="Book Antiqua"/>
          <w:sz w:val="23"/>
          <w:szCs w:val="23"/>
        </w:rPr>
        <w:t xml:space="preserve"> </w:t>
      </w:r>
      <w:r w:rsidR="00C1274E">
        <w:rPr>
          <w:rFonts w:ascii="Book Antiqua" w:hAnsi="Book Antiqua"/>
          <w:b/>
          <w:bCs/>
          <w:sz w:val="23"/>
          <w:szCs w:val="23"/>
        </w:rPr>
        <w:t>[</w:t>
      </w:r>
      <w:r w:rsidR="000A7902">
        <w:rPr>
          <w:rFonts w:ascii="Book Antiqua" w:hAnsi="Book Antiqua"/>
          <w:b/>
          <w:bCs/>
          <w:sz w:val="23"/>
          <w:szCs w:val="23"/>
        </w:rPr>
        <w:t>HB/6/48</w:t>
      </w:r>
      <w:r w:rsidR="00A31463">
        <w:rPr>
          <w:rFonts w:ascii="Book Antiqua" w:hAnsi="Book Antiqua"/>
          <w:b/>
          <w:bCs/>
          <w:sz w:val="23"/>
          <w:szCs w:val="23"/>
        </w:rPr>
        <w:t>(</w:t>
      </w:r>
      <w:r w:rsidR="001C7CB6">
        <w:rPr>
          <w:rFonts w:ascii="Book Antiqua" w:hAnsi="Book Antiqua"/>
          <w:b/>
          <w:bCs/>
          <w:sz w:val="23"/>
          <w:szCs w:val="23"/>
        </w:rPr>
        <w:t>PDF50</w:t>
      </w:r>
      <w:r w:rsidR="00A31463">
        <w:rPr>
          <w:rFonts w:ascii="Book Antiqua" w:hAnsi="Book Antiqua"/>
          <w:b/>
          <w:bCs/>
          <w:sz w:val="23"/>
          <w:szCs w:val="23"/>
        </w:rPr>
        <w:t>)</w:t>
      </w:r>
      <w:r w:rsidR="001C7CB6">
        <w:rPr>
          <w:rFonts w:ascii="Book Antiqua" w:hAnsi="Book Antiqua"/>
          <w:b/>
          <w:bCs/>
          <w:sz w:val="23"/>
          <w:szCs w:val="23"/>
        </w:rPr>
        <w:t>]</w:t>
      </w:r>
      <w:r w:rsidR="0055698D">
        <w:rPr>
          <w:rFonts w:ascii="Book Antiqua" w:hAnsi="Book Antiqua"/>
          <w:sz w:val="23"/>
          <w:szCs w:val="23"/>
        </w:rPr>
        <w:t>.</w:t>
      </w:r>
      <w:r w:rsidR="001D3E5D">
        <w:rPr>
          <w:rFonts w:ascii="Book Antiqua" w:hAnsi="Book Antiqua"/>
          <w:sz w:val="23"/>
          <w:szCs w:val="23"/>
        </w:rPr>
        <w:t xml:space="preserve"> For th</w:t>
      </w:r>
      <w:r w:rsidR="00C1274E">
        <w:rPr>
          <w:rFonts w:ascii="Book Antiqua" w:hAnsi="Book Antiqua"/>
          <w:sz w:val="23"/>
          <w:szCs w:val="23"/>
        </w:rPr>
        <w:t>e same</w:t>
      </w:r>
      <w:r w:rsidR="001D3E5D">
        <w:rPr>
          <w:rFonts w:ascii="Book Antiqua" w:hAnsi="Book Antiqua"/>
          <w:sz w:val="23"/>
          <w:szCs w:val="23"/>
        </w:rPr>
        <w:t xml:space="preserve"> reason</w:t>
      </w:r>
      <w:r w:rsidR="00C1274E">
        <w:rPr>
          <w:rFonts w:ascii="Book Antiqua" w:hAnsi="Book Antiqua"/>
          <w:sz w:val="23"/>
          <w:szCs w:val="23"/>
        </w:rPr>
        <w:t xml:space="preserve"> that it was targeted by Palestine Action</w:t>
      </w:r>
      <w:r w:rsidR="001D3E5D">
        <w:rPr>
          <w:rFonts w:ascii="Book Antiqua" w:hAnsi="Book Antiqua"/>
          <w:sz w:val="23"/>
          <w:szCs w:val="23"/>
        </w:rPr>
        <w:t xml:space="preserve">, there is a real and imminent risk that it will be targeted with Direct Action. </w:t>
      </w:r>
      <w:r w:rsidR="00FC435B">
        <w:rPr>
          <w:rFonts w:ascii="Book Antiqua" w:hAnsi="Book Antiqua"/>
          <w:sz w:val="23"/>
          <w:szCs w:val="23"/>
        </w:rPr>
        <w:t xml:space="preserve"> </w:t>
      </w:r>
      <w:r w:rsidR="00BE2C0E">
        <w:rPr>
          <w:rFonts w:ascii="Book Antiqua" w:hAnsi="Book Antiqua"/>
          <w:sz w:val="23"/>
          <w:szCs w:val="23"/>
        </w:rPr>
        <w:t xml:space="preserve"> </w:t>
      </w:r>
    </w:p>
    <w:p w14:paraId="75C430F2" w14:textId="7219EC49" w:rsidR="007B6F77" w:rsidRDefault="004F6419" w:rsidP="007B6F77">
      <w:pPr>
        <w:pStyle w:val="ListParagraph"/>
        <w:numPr>
          <w:ilvl w:val="0"/>
          <w:numId w:val="3"/>
        </w:numPr>
        <w:tabs>
          <w:tab w:val="left" w:pos="1701"/>
        </w:tabs>
        <w:spacing w:line="360" w:lineRule="auto"/>
        <w:ind w:left="567" w:hanging="567"/>
        <w:contextualSpacing w:val="0"/>
        <w:jc w:val="both"/>
        <w:rPr>
          <w:rFonts w:ascii="Book Antiqua" w:hAnsi="Book Antiqua"/>
          <w:sz w:val="23"/>
          <w:szCs w:val="23"/>
        </w:rPr>
      </w:pPr>
      <w:r>
        <w:rPr>
          <w:rFonts w:ascii="Book Antiqua" w:hAnsi="Book Antiqua"/>
          <w:sz w:val="23"/>
          <w:szCs w:val="23"/>
        </w:rPr>
        <w:t>The fact that Cambridge for Palestine has not disavowed any intention to carry out Direct Action on the Land is significant</w:t>
      </w:r>
      <w:r w:rsidR="00A444BB">
        <w:rPr>
          <w:rFonts w:ascii="Book Antiqua" w:hAnsi="Book Antiqua"/>
          <w:sz w:val="23"/>
          <w:szCs w:val="23"/>
        </w:rPr>
        <w:t xml:space="preserve">: </w:t>
      </w:r>
      <w:r w:rsidR="00E240DB" w:rsidRPr="004C33CE">
        <w:rPr>
          <w:rFonts w:ascii="Book Antiqua" w:hAnsi="Book Antiqua"/>
          <w:sz w:val="23"/>
          <w:szCs w:val="23"/>
          <w:u w:val="single"/>
        </w:rPr>
        <w:t>Fordham Judgment</w:t>
      </w:r>
      <w:r w:rsidR="00E240DB">
        <w:rPr>
          <w:rFonts w:ascii="Book Antiqua" w:hAnsi="Book Antiqua"/>
          <w:sz w:val="23"/>
          <w:szCs w:val="23"/>
        </w:rPr>
        <w:t xml:space="preserve">, </w:t>
      </w:r>
      <w:r w:rsidR="004C33CE" w:rsidRPr="008975B1">
        <w:rPr>
          <w:rFonts w:ascii="Book Antiqua" w:hAnsi="Book Antiqua"/>
          <w:lang w:val="en-GB"/>
        </w:rPr>
        <w:t>§</w:t>
      </w:r>
      <w:r w:rsidR="004C33CE">
        <w:rPr>
          <w:rFonts w:ascii="Book Antiqua" w:hAnsi="Book Antiqua"/>
          <w:sz w:val="23"/>
          <w:szCs w:val="23"/>
        </w:rPr>
        <w:t xml:space="preserve">33 </w:t>
      </w:r>
      <w:r w:rsidR="004C33CE">
        <w:rPr>
          <w:rFonts w:ascii="Book Antiqua" w:hAnsi="Book Antiqua"/>
          <w:b/>
          <w:bCs/>
          <w:sz w:val="23"/>
          <w:szCs w:val="23"/>
        </w:rPr>
        <w:t>[</w:t>
      </w:r>
      <w:r w:rsidR="00642FF5">
        <w:rPr>
          <w:rFonts w:ascii="Book Antiqua" w:hAnsi="Book Antiqua"/>
          <w:b/>
          <w:bCs/>
          <w:sz w:val="23"/>
          <w:szCs w:val="23"/>
        </w:rPr>
        <w:t>SB/10/922</w:t>
      </w:r>
      <w:r w:rsidR="00933FF0">
        <w:rPr>
          <w:rFonts w:ascii="Book Antiqua" w:hAnsi="Book Antiqua"/>
          <w:b/>
          <w:bCs/>
          <w:sz w:val="23"/>
          <w:szCs w:val="23"/>
        </w:rPr>
        <w:t>(</w:t>
      </w:r>
      <w:r w:rsidR="001C7CB6">
        <w:rPr>
          <w:rFonts w:ascii="Book Antiqua" w:hAnsi="Book Antiqua"/>
          <w:b/>
          <w:bCs/>
          <w:sz w:val="23"/>
          <w:szCs w:val="23"/>
        </w:rPr>
        <w:t>PDF284</w:t>
      </w:r>
      <w:r w:rsidR="00933FF0">
        <w:rPr>
          <w:rFonts w:ascii="Book Antiqua" w:hAnsi="Book Antiqua"/>
          <w:b/>
          <w:bCs/>
          <w:sz w:val="23"/>
          <w:szCs w:val="23"/>
        </w:rPr>
        <w:t>)</w:t>
      </w:r>
      <w:r w:rsidR="001C7CB6">
        <w:rPr>
          <w:rFonts w:ascii="Book Antiqua" w:hAnsi="Book Antiqua"/>
          <w:b/>
          <w:bCs/>
          <w:sz w:val="23"/>
          <w:szCs w:val="23"/>
        </w:rPr>
        <w:t>]</w:t>
      </w:r>
      <w:r w:rsidR="004C33CE">
        <w:rPr>
          <w:rFonts w:ascii="Book Antiqua" w:hAnsi="Book Antiqua"/>
          <w:sz w:val="23"/>
          <w:szCs w:val="23"/>
        </w:rPr>
        <w:t xml:space="preserve">; </w:t>
      </w:r>
      <w:r w:rsidR="00A444BB" w:rsidRPr="0094375D">
        <w:rPr>
          <w:rFonts w:ascii="Book Antiqua" w:hAnsi="Book Antiqua"/>
          <w:u w:val="single"/>
          <w:lang w:val="en-GB"/>
        </w:rPr>
        <w:t>Esso Petroleum v Persons Unknown</w:t>
      </w:r>
      <w:r w:rsidR="00A444BB" w:rsidRPr="008975B1">
        <w:rPr>
          <w:rFonts w:ascii="Book Antiqua" w:hAnsi="Book Antiqua"/>
          <w:i/>
          <w:iCs/>
          <w:lang w:val="en-GB"/>
        </w:rPr>
        <w:t xml:space="preserve"> </w:t>
      </w:r>
      <w:r w:rsidR="00A444BB" w:rsidRPr="008975B1">
        <w:rPr>
          <w:rFonts w:ascii="Book Antiqua" w:hAnsi="Book Antiqua"/>
          <w:lang w:val="en-GB"/>
        </w:rPr>
        <w:t>[2023] EWHC 1837 (KB), §</w:t>
      </w:r>
      <w:r w:rsidR="00E240DB">
        <w:rPr>
          <w:rFonts w:ascii="Book Antiqua" w:hAnsi="Book Antiqua"/>
          <w:lang w:val="en-GB"/>
        </w:rPr>
        <w:t>6</w:t>
      </w:r>
      <w:r w:rsidR="00A444BB" w:rsidRPr="008975B1">
        <w:rPr>
          <w:rFonts w:ascii="Book Antiqua" w:hAnsi="Book Antiqua"/>
          <w:lang w:val="en-GB"/>
        </w:rPr>
        <w:t>7 (Linden J)</w:t>
      </w:r>
      <w:r w:rsidR="00A444BB">
        <w:rPr>
          <w:rFonts w:ascii="Book Antiqua" w:hAnsi="Book Antiqua"/>
          <w:lang w:val="en-GB"/>
        </w:rPr>
        <w:t xml:space="preserve"> </w:t>
      </w:r>
      <w:r w:rsidR="00A444BB">
        <w:rPr>
          <w:rFonts w:ascii="Book Antiqua" w:hAnsi="Book Antiqua"/>
          <w:b/>
          <w:bCs/>
          <w:sz w:val="23"/>
          <w:szCs w:val="23"/>
        </w:rPr>
        <w:t>[AB/5/12</w:t>
      </w:r>
      <w:r w:rsidR="00E240DB">
        <w:rPr>
          <w:rFonts w:ascii="Book Antiqua" w:hAnsi="Book Antiqua"/>
          <w:b/>
          <w:bCs/>
          <w:sz w:val="23"/>
          <w:szCs w:val="23"/>
        </w:rPr>
        <w:t>4</w:t>
      </w:r>
      <w:r w:rsidR="00A444BB">
        <w:rPr>
          <w:rFonts w:ascii="Book Antiqua" w:hAnsi="Book Antiqua"/>
          <w:b/>
          <w:bCs/>
          <w:sz w:val="23"/>
          <w:szCs w:val="23"/>
        </w:rPr>
        <w:t>]</w:t>
      </w:r>
      <w:r>
        <w:rPr>
          <w:rFonts w:ascii="Book Antiqua" w:hAnsi="Book Antiqua"/>
          <w:sz w:val="23"/>
          <w:szCs w:val="23"/>
        </w:rPr>
        <w:t xml:space="preserve">. </w:t>
      </w:r>
      <w:r w:rsidR="00AF50AE">
        <w:rPr>
          <w:rFonts w:ascii="Book Antiqua" w:hAnsi="Book Antiqua"/>
          <w:sz w:val="23"/>
          <w:szCs w:val="23"/>
        </w:rPr>
        <w:t xml:space="preserve">Far </w:t>
      </w:r>
      <w:r w:rsidR="00884DAF">
        <w:rPr>
          <w:rFonts w:ascii="Book Antiqua" w:hAnsi="Book Antiqua"/>
          <w:sz w:val="23"/>
          <w:szCs w:val="23"/>
        </w:rPr>
        <w:t>from</w:t>
      </w:r>
      <w:r w:rsidR="00AF50AE">
        <w:rPr>
          <w:rFonts w:ascii="Book Antiqua" w:hAnsi="Book Antiqua"/>
          <w:sz w:val="23"/>
          <w:szCs w:val="23"/>
        </w:rPr>
        <w:t xml:space="preserve"> making such a disavowal</w:t>
      </w:r>
      <w:r w:rsidR="007B6F77">
        <w:rPr>
          <w:rFonts w:ascii="Book Antiqua" w:hAnsi="Book Antiqua"/>
          <w:sz w:val="23"/>
          <w:szCs w:val="23"/>
        </w:rPr>
        <w:t xml:space="preserve"> since the Fordham Order, they appear to have doubled-down on their position. In particular:</w:t>
      </w:r>
    </w:p>
    <w:p w14:paraId="234144C7" w14:textId="3272B275" w:rsidR="007B6F77" w:rsidRPr="007B6F77" w:rsidRDefault="007B6F77" w:rsidP="007B6F77">
      <w:pPr>
        <w:pStyle w:val="ListParagraph"/>
        <w:numPr>
          <w:ilvl w:val="1"/>
          <w:numId w:val="3"/>
        </w:numPr>
        <w:tabs>
          <w:tab w:val="left" w:pos="1701"/>
        </w:tabs>
        <w:spacing w:line="360" w:lineRule="auto"/>
        <w:contextualSpacing w:val="0"/>
        <w:jc w:val="both"/>
        <w:rPr>
          <w:rFonts w:ascii="Book Antiqua" w:hAnsi="Book Antiqua"/>
          <w:sz w:val="23"/>
          <w:szCs w:val="23"/>
        </w:rPr>
      </w:pPr>
      <w:r w:rsidRPr="007B6F77">
        <w:rPr>
          <w:rFonts w:ascii="Book Antiqua" w:hAnsi="Book Antiqua"/>
          <w:sz w:val="23"/>
          <w:szCs w:val="23"/>
        </w:rPr>
        <w:t>On 2 March 2025, Cambridge for Palestine uploaded a social media post, which stated</w:t>
      </w:r>
      <w:r>
        <w:rPr>
          <w:rFonts w:ascii="Book Antiqua" w:hAnsi="Book Antiqua"/>
          <w:sz w:val="23"/>
          <w:szCs w:val="23"/>
        </w:rPr>
        <w:t xml:space="preserve"> </w:t>
      </w:r>
      <w:r w:rsidRPr="007B6F77">
        <w:rPr>
          <w:rFonts w:ascii="Book Antiqua" w:hAnsi="Book Antiqua"/>
          <w:sz w:val="23"/>
          <w:szCs w:val="23"/>
        </w:rPr>
        <w:t>“</w:t>
      </w:r>
      <w:r w:rsidRPr="007B6F77">
        <w:rPr>
          <w:rFonts w:ascii="Book Antiqua" w:hAnsi="Book Antiqua"/>
          <w:i/>
          <w:iCs/>
          <w:sz w:val="23"/>
          <w:szCs w:val="23"/>
        </w:rPr>
        <w:t>Cambridge University tried to silence us…We will NEVER be silent while they profit From Genocide. Our call remains the same Disclose, Divest, We Will NOT Stop, We Will NOT REST</w:t>
      </w:r>
      <w:r w:rsidRPr="007B6F77">
        <w:rPr>
          <w:rFonts w:ascii="Book Antiqua" w:hAnsi="Book Antiqua"/>
          <w:sz w:val="23"/>
          <w:szCs w:val="23"/>
        </w:rPr>
        <w:t>”</w:t>
      </w:r>
    </w:p>
    <w:p w14:paraId="259C404E" w14:textId="585FB175" w:rsidR="007B6F77" w:rsidRDefault="007B6F77" w:rsidP="007B6F77">
      <w:pPr>
        <w:pStyle w:val="ListParagraph"/>
        <w:numPr>
          <w:ilvl w:val="1"/>
          <w:numId w:val="3"/>
        </w:numPr>
        <w:tabs>
          <w:tab w:val="left" w:pos="1701"/>
        </w:tabs>
        <w:spacing w:line="360" w:lineRule="auto"/>
        <w:contextualSpacing w:val="0"/>
        <w:jc w:val="both"/>
        <w:rPr>
          <w:rFonts w:ascii="Book Antiqua" w:hAnsi="Book Antiqua"/>
          <w:sz w:val="23"/>
          <w:szCs w:val="23"/>
        </w:rPr>
      </w:pPr>
      <w:r>
        <w:rPr>
          <w:rFonts w:ascii="Book Antiqua" w:hAnsi="Book Antiqua"/>
          <w:sz w:val="23"/>
          <w:szCs w:val="23"/>
        </w:rPr>
        <w:t xml:space="preserve">On 4 March 2025, Cambridge for Palestine endorsed the criminal damage </w:t>
      </w:r>
      <w:r w:rsidR="00884DAF">
        <w:rPr>
          <w:rFonts w:ascii="Book Antiqua" w:hAnsi="Book Antiqua"/>
          <w:sz w:val="23"/>
          <w:szCs w:val="23"/>
        </w:rPr>
        <w:t xml:space="preserve">carried out by Palestine Action on the Old Schools, stating </w:t>
      </w:r>
      <w:r w:rsidRPr="00884DAF">
        <w:rPr>
          <w:rFonts w:ascii="Book Antiqua" w:hAnsi="Book Antiqua"/>
          <w:sz w:val="23"/>
          <w:szCs w:val="23"/>
        </w:rPr>
        <w:t>“</w:t>
      </w:r>
      <w:r w:rsidRPr="00DC3153">
        <w:rPr>
          <w:rFonts w:ascii="Book Antiqua" w:hAnsi="Book Antiqua"/>
          <w:i/>
          <w:iCs/>
          <w:sz w:val="23"/>
          <w:szCs w:val="23"/>
        </w:rPr>
        <w:t>Divest</w:t>
      </w:r>
      <w:r w:rsidRPr="00884DAF">
        <w:rPr>
          <w:rFonts w:ascii="Book Antiqua" w:hAnsi="Book Antiqua"/>
          <w:i/>
          <w:iCs/>
          <w:sz w:val="23"/>
          <w:szCs w:val="23"/>
        </w:rPr>
        <w:t xml:space="preserve"> from Israeli arms or expect resistance. Full support to Palestine Action.</w:t>
      </w:r>
      <w:r w:rsidRPr="00884DAF">
        <w:rPr>
          <w:rFonts w:ascii="Book Antiqua" w:hAnsi="Book Antiqua"/>
          <w:sz w:val="23"/>
          <w:szCs w:val="23"/>
        </w:rPr>
        <w:t>”</w:t>
      </w:r>
    </w:p>
    <w:p w14:paraId="3107476A" w14:textId="370A4609" w:rsidR="0058319E" w:rsidRPr="0058319E" w:rsidRDefault="0058319E" w:rsidP="00FD39F8">
      <w:pPr>
        <w:pStyle w:val="ListParagraph"/>
        <w:numPr>
          <w:ilvl w:val="0"/>
          <w:numId w:val="3"/>
        </w:numPr>
        <w:tabs>
          <w:tab w:val="left" w:pos="1701"/>
        </w:tabs>
        <w:spacing w:line="360" w:lineRule="auto"/>
        <w:ind w:left="567" w:hanging="567"/>
        <w:contextualSpacing w:val="0"/>
        <w:jc w:val="both"/>
        <w:rPr>
          <w:rFonts w:ascii="Book Antiqua" w:hAnsi="Book Antiqua"/>
          <w:sz w:val="23"/>
          <w:szCs w:val="23"/>
        </w:rPr>
      </w:pPr>
      <w:r>
        <w:rPr>
          <w:rFonts w:ascii="Book Antiqua" w:hAnsi="Book Antiqua"/>
          <w:sz w:val="23"/>
          <w:szCs w:val="23"/>
        </w:rPr>
        <w:t xml:space="preserve">The fact that no Direct Action took place on 1 March 2025 </w:t>
      </w:r>
      <w:r w:rsidR="006B3911">
        <w:rPr>
          <w:rFonts w:ascii="Book Antiqua" w:hAnsi="Book Antiqua"/>
          <w:sz w:val="23"/>
          <w:szCs w:val="23"/>
        </w:rPr>
        <w:t xml:space="preserve">says nothing of the risk posed by Persons Unknown. </w:t>
      </w:r>
      <w:r w:rsidR="00FD39F8">
        <w:rPr>
          <w:rFonts w:ascii="Book Antiqua" w:hAnsi="Book Antiqua"/>
          <w:sz w:val="23"/>
          <w:szCs w:val="23"/>
        </w:rPr>
        <w:t xml:space="preserve">This is evidence of the </w:t>
      </w:r>
      <w:r w:rsidR="002B30F9">
        <w:rPr>
          <w:rFonts w:ascii="Book Antiqua" w:hAnsi="Book Antiqua"/>
          <w:sz w:val="23"/>
          <w:szCs w:val="23"/>
        </w:rPr>
        <w:t xml:space="preserve">Fordham Order </w:t>
      </w:r>
      <w:r w:rsidR="0035694A">
        <w:rPr>
          <w:rFonts w:ascii="Book Antiqua" w:hAnsi="Book Antiqua"/>
          <w:sz w:val="23"/>
          <w:szCs w:val="23"/>
        </w:rPr>
        <w:t>having its intended effect</w:t>
      </w:r>
      <w:r w:rsidR="002B30F9">
        <w:rPr>
          <w:rFonts w:ascii="Book Antiqua" w:hAnsi="Book Antiqua"/>
          <w:sz w:val="23"/>
          <w:szCs w:val="23"/>
        </w:rPr>
        <w:t xml:space="preserve">: </w:t>
      </w:r>
      <w:r w:rsidR="002B30F9">
        <w:rPr>
          <w:rFonts w:ascii="Book Antiqua" w:hAnsi="Book Antiqua"/>
          <w:sz w:val="23"/>
          <w:szCs w:val="23"/>
          <w:u w:val="single"/>
        </w:rPr>
        <w:t>Valero</w:t>
      </w:r>
      <w:r w:rsidR="0035694A">
        <w:rPr>
          <w:rFonts w:ascii="Book Antiqua" w:hAnsi="Book Antiqua"/>
          <w:sz w:val="23"/>
          <w:szCs w:val="23"/>
          <w:u w:val="single"/>
        </w:rPr>
        <w:t xml:space="preserve"> Energy Ltd v Persons Unknown</w:t>
      </w:r>
      <w:r w:rsidR="0035694A">
        <w:rPr>
          <w:rFonts w:ascii="Book Antiqua" w:hAnsi="Book Antiqua"/>
          <w:sz w:val="23"/>
          <w:szCs w:val="23"/>
        </w:rPr>
        <w:t xml:space="preserve"> [202</w:t>
      </w:r>
      <w:r w:rsidR="00A66529">
        <w:rPr>
          <w:rFonts w:ascii="Book Antiqua" w:hAnsi="Book Antiqua"/>
          <w:sz w:val="23"/>
          <w:szCs w:val="23"/>
        </w:rPr>
        <w:t>5] EWHC 207</w:t>
      </w:r>
      <w:r w:rsidR="002B30F9">
        <w:rPr>
          <w:rFonts w:ascii="Book Antiqua" w:hAnsi="Book Antiqua"/>
          <w:sz w:val="23"/>
          <w:szCs w:val="23"/>
        </w:rPr>
        <w:t>, §</w:t>
      </w:r>
      <w:r w:rsidR="00A66529">
        <w:rPr>
          <w:rFonts w:ascii="Book Antiqua" w:hAnsi="Book Antiqua"/>
          <w:sz w:val="23"/>
          <w:szCs w:val="23"/>
        </w:rPr>
        <w:t xml:space="preserve">34 (Hill J) </w:t>
      </w:r>
      <w:r w:rsidR="00A66529">
        <w:rPr>
          <w:rFonts w:ascii="Book Antiqua" w:hAnsi="Book Antiqua"/>
          <w:b/>
          <w:bCs/>
          <w:sz w:val="23"/>
          <w:szCs w:val="23"/>
        </w:rPr>
        <w:t>[</w:t>
      </w:r>
      <w:r w:rsidR="00F649AA">
        <w:rPr>
          <w:rFonts w:ascii="Book Antiqua" w:hAnsi="Book Antiqua"/>
          <w:b/>
          <w:bCs/>
          <w:sz w:val="23"/>
          <w:szCs w:val="23"/>
        </w:rPr>
        <w:t>AB/</w:t>
      </w:r>
      <w:r w:rsidR="008E1227">
        <w:rPr>
          <w:rFonts w:ascii="Book Antiqua" w:hAnsi="Book Antiqua"/>
          <w:b/>
          <w:bCs/>
          <w:sz w:val="23"/>
          <w:szCs w:val="23"/>
        </w:rPr>
        <w:t>19/</w:t>
      </w:r>
      <w:r w:rsidR="006C7830">
        <w:rPr>
          <w:rFonts w:ascii="Book Antiqua" w:hAnsi="Book Antiqua"/>
          <w:b/>
          <w:bCs/>
          <w:sz w:val="23"/>
          <w:szCs w:val="23"/>
        </w:rPr>
        <w:t>732</w:t>
      </w:r>
      <w:r w:rsidR="00A66529">
        <w:rPr>
          <w:rFonts w:ascii="Book Antiqua" w:hAnsi="Book Antiqua"/>
          <w:b/>
          <w:bCs/>
          <w:sz w:val="23"/>
          <w:szCs w:val="23"/>
        </w:rPr>
        <w:t>]</w:t>
      </w:r>
      <w:r w:rsidR="002B30F9">
        <w:rPr>
          <w:rFonts w:ascii="Book Antiqua" w:hAnsi="Book Antiqua"/>
          <w:sz w:val="23"/>
          <w:szCs w:val="23"/>
        </w:rPr>
        <w:t>.</w:t>
      </w:r>
    </w:p>
    <w:p w14:paraId="0DC40E73" w14:textId="53BB919A" w:rsidR="005B6CC7" w:rsidRDefault="005B6CC7" w:rsidP="00624586">
      <w:pPr>
        <w:pStyle w:val="ListParagraph"/>
        <w:numPr>
          <w:ilvl w:val="0"/>
          <w:numId w:val="3"/>
        </w:numPr>
        <w:tabs>
          <w:tab w:val="left" w:pos="1701"/>
        </w:tabs>
        <w:spacing w:line="360" w:lineRule="auto"/>
        <w:ind w:left="567" w:hanging="567"/>
        <w:contextualSpacing w:val="0"/>
        <w:jc w:val="both"/>
        <w:rPr>
          <w:rFonts w:ascii="Book Antiqua" w:hAnsi="Book Antiqua"/>
          <w:sz w:val="23"/>
          <w:szCs w:val="23"/>
        </w:rPr>
      </w:pPr>
      <w:r w:rsidRPr="005B6CC7">
        <w:rPr>
          <w:rFonts w:ascii="Book Antiqua" w:hAnsi="Book Antiqua"/>
          <w:b/>
          <w:bCs/>
          <w:sz w:val="23"/>
          <w:szCs w:val="23"/>
        </w:rPr>
        <w:t>Fourthly</w:t>
      </w:r>
      <w:r>
        <w:rPr>
          <w:rFonts w:ascii="Book Antiqua" w:hAnsi="Book Antiqua"/>
          <w:sz w:val="23"/>
          <w:szCs w:val="23"/>
        </w:rPr>
        <w:t>, t</w:t>
      </w:r>
      <w:r w:rsidR="00B56821" w:rsidRPr="005B6CC7">
        <w:rPr>
          <w:rFonts w:ascii="Book Antiqua" w:hAnsi="Book Antiqua"/>
          <w:sz w:val="23"/>
          <w:szCs w:val="23"/>
        </w:rPr>
        <w:t>here is no realistic defence.</w:t>
      </w:r>
      <w:r w:rsidR="00EF59C7" w:rsidRPr="005B6CC7">
        <w:rPr>
          <w:rFonts w:ascii="Book Antiqua" w:hAnsi="Book Antiqua"/>
          <w:sz w:val="23"/>
          <w:szCs w:val="23"/>
        </w:rPr>
        <w:t xml:space="preserve"> </w:t>
      </w:r>
      <w:r w:rsidR="00883B3F" w:rsidRPr="005B6CC7">
        <w:rPr>
          <w:rFonts w:ascii="Book Antiqua" w:hAnsi="Book Antiqua"/>
          <w:sz w:val="23"/>
          <w:szCs w:val="23"/>
        </w:rPr>
        <w:t xml:space="preserve">The Defendants </w:t>
      </w:r>
      <w:r w:rsidR="00F46983">
        <w:rPr>
          <w:rFonts w:ascii="Book Antiqua" w:hAnsi="Book Antiqua"/>
          <w:sz w:val="23"/>
          <w:szCs w:val="23"/>
        </w:rPr>
        <w:t>would be</w:t>
      </w:r>
      <w:r w:rsidR="00883B3F" w:rsidRPr="005B6CC7">
        <w:rPr>
          <w:rFonts w:ascii="Book Antiqua" w:hAnsi="Book Antiqua"/>
          <w:sz w:val="23"/>
          <w:szCs w:val="23"/>
        </w:rPr>
        <w:t xml:space="preserve"> trespassers on land owned by the </w:t>
      </w:r>
      <w:r w:rsidR="000217FD" w:rsidRPr="005B6CC7">
        <w:rPr>
          <w:rFonts w:ascii="Book Antiqua" w:hAnsi="Book Antiqua"/>
          <w:sz w:val="23"/>
          <w:szCs w:val="23"/>
        </w:rPr>
        <w:t>University</w:t>
      </w:r>
      <w:r w:rsidR="00883B3F" w:rsidRPr="005B6CC7">
        <w:rPr>
          <w:rFonts w:ascii="Book Antiqua" w:hAnsi="Book Antiqua"/>
          <w:sz w:val="23"/>
          <w:szCs w:val="23"/>
        </w:rPr>
        <w:t xml:space="preserve">. </w:t>
      </w:r>
      <w:r w:rsidR="00D27CAB" w:rsidRPr="005B6CC7">
        <w:rPr>
          <w:rFonts w:ascii="Book Antiqua" w:hAnsi="Book Antiqua"/>
          <w:sz w:val="23"/>
          <w:szCs w:val="23"/>
        </w:rPr>
        <w:t xml:space="preserve">Human rights issues are considered below. </w:t>
      </w:r>
    </w:p>
    <w:p w14:paraId="1F71BC96" w14:textId="57EC289B" w:rsidR="005B6CC7" w:rsidRDefault="005B6CC7" w:rsidP="00624586">
      <w:pPr>
        <w:pStyle w:val="ListParagraph"/>
        <w:numPr>
          <w:ilvl w:val="0"/>
          <w:numId w:val="3"/>
        </w:numPr>
        <w:tabs>
          <w:tab w:val="left" w:pos="1701"/>
        </w:tabs>
        <w:spacing w:line="360" w:lineRule="auto"/>
        <w:ind w:left="567" w:hanging="567"/>
        <w:contextualSpacing w:val="0"/>
        <w:jc w:val="both"/>
        <w:rPr>
          <w:rFonts w:ascii="Book Antiqua" w:hAnsi="Book Antiqua"/>
          <w:sz w:val="23"/>
          <w:szCs w:val="23"/>
        </w:rPr>
      </w:pPr>
      <w:r w:rsidRPr="005B6CC7">
        <w:rPr>
          <w:rFonts w:ascii="Book Antiqua" w:hAnsi="Book Antiqua"/>
          <w:b/>
          <w:bCs/>
          <w:sz w:val="23"/>
          <w:szCs w:val="23"/>
        </w:rPr>
        <w:t>Fifthly</w:t>
      </w:r>
      <w:r>
        <w:rPr>
          <w:rFonts w:ascii="Book Antiqua" w:hAnsi="Book Antiqua"/>
          <w:sz w:val="23"/>
          <w:szCs w:val="23"/>
        </w:rPr>
        <w:t>, t</w:t>
      </w:r>
      <w:r w:rsidR="00B56821" w:rsidRPr="005B6CC7">
        <w:rPr>
          <w:rFonts w:ascii="Book Antiqua" w:hAnsi="Book Antiqua"/>
          <w:sz w:val="23"/>
          <w:szCs w:val="23"/>
        </w:rPr>
        <w:t xml:space="preserve">here is a compelling justification for the injunction. </w:t>
      </w:r>
      <w:r w:rsidR="00031D39" w:rsidRPr="005B6CC7">
        <w:rPr>
          <w:rFonts w:ascii="Book Antiqua" w:hAnsi="Book Antiqua"/>
          <w:sz w:val="23"/>
          <w:szCs w:val="23"/>
        </w:rPr>
        <w:t xml:space="preserve">The University wishes to use its own land for important purposes and the Defendants are preventing it from doing so without any </w:t>
      </w:r>
      <w:r w:rsidR="007C5980" w:rsidRPr="005B6CC7">
        <w:rPr>
          <w:rFonts w:ascii="Book Antiqua" w:hAnsi="Book Antiqua"/>
          <w:sz w:val="23"/>
          <w:szCs w:val="23"/>
        </w:rPr>
        <w:t xml:space="preserve">lawful right to do so. They are doing so not just at great cost and disruption to the University, its staff, </w:t>
      </w:r>
      <w:r w:rsidR="00D60708">
        <w:rPr>
          <w:rFonts w:ascii="Book Antiqua" w:hAnsi="Book Antiqua"/>
          <w:sz w:val="23"/>
          <w:szCs w:val="23"/>
        </w:rPr>
        <w:t xml:space="preserve">graduating </w:t>
      </w:r>
      <w:r w:rsidR="007C5980" w:rsidRPr="005B6CC7">
        <w:rPr>
          <w:rFonts w:ascii="Book Antiqua" w:hAnsi="Book Antiqua"/>
          <w:sz w:val="23"/>
          <w:szCs w:val="23"/>
        </w:rPr>
        <w:t xml:space="preserve">students and their guests, but also at risk to themselves. </w:t>
      </w:r>
      <w:r w:rsidR="004B1A64" w:rsidRPr="005B6CC7">
        <w:rPr>
          <w:rFonts w:ascii="Book Antiqua" w:hAnsi="Book Antiqua"/>
          <w:sz w:val="23"/>
          <w:szCs w:val="23"/>
        </w:rPr>
        <w:t>In light of the evidence in Rampton 1,</w:t>
      </w:r>
      <w:r w:rsidR="00EB529C" w:rsidRPr="005B6CC7">
        <w:rPr>
          <w:rFonts w:ascii="Book Antiqua" w:hAnsi="Book Antiqua"/>
          <w:sz w:val="23"/>
          <w:szCs w:val="23"/>
        </w:rPr>
        <w:t xml:space="preserve"> </w:t>
      </w:r>
      <w:r w:rsidR="00CD6818" w:rsidRPr="005B6CC7">
        <w:rPr>
          <w:rFonts w:ascii="Book Antiqua" w:hAnsi="Book Antiqua"/>
          <w:sz w:val="23"/>
          <w:szCs w:val="23"/>
        </w:rPr>
        <w:t>§§</w:t>
      </w:r>
      <w:r w:rsidR="00EB18DC" w:rsidRPr="005B6CC7">
        <w:rPr>
          <w:rFonts w:ascii="Book Antiqua" w:hAnsi="Book Antiqua"/>
          <w:sz w:val="23"/>
          <w:szCs w:val="23"/>
        </w:rPr>
        <w:t>137-145</w:t>
      </w:r>
      <w:r w:rsidR="00514C4F">
        <w:rPr>
          <w:rFonts w:ascii="Book Antiqua" w:hAnsi="Book Antiqua"/>
          <w:sz w:val="23"/>
          <w:szCs w:val="23"/>
        </w:rPr>
        <w:t xml:space="preserve"> </w:t>
      </w:r>
      <w:r w:rsidR="00514C4F">
        <w:rPr>
          <w:rFonts w:ascii="Book Antiqua" w:hAnsi="Book Antiqua"/>
          <w:b/>
          <w:bCs/>
          <w:sz w:val="23"/>
          <w:szCs w:val="23"/>
        </w:rPr>
        <w:t>[</w:t>
      </w:r>
      <w:r w:rsidR="00211D7C">
        <w:rPr>
          <w:rFonts w:ascii="Book Antiqua" w:hAnsi="Book Antiqua"/>
          <w:b/>
          <w:bCs/>
          <w:sz w:val="23"/>
          <w:szCs w:val="23"/>
        </w:rPr>
        <w:t>HB</w:t>
      </w:r>
      <w:r w:rsidR="00514C4F">
        <w:rPr>
          <w:rFonts w:ascii="Book Antiqua" w:hAnsi="Book Antiqua"/>
          <w:b/>
          <w:bCs/>
          <w:sz w:val="23"/>
          <w:szCs w:val="23"/>
        </w:rPr>
        <w:t>/</w:t>
      </w:r>
      <w:r w:rsidR="00455750">
        <w:rPr>
          <w:rFonts w:ascii="Book Antiqua" w:hAnsi="Book Antiqua"/>
          <w:b/>
          <w:bCs/>
          <w:sz w:val="23"/>
          <w:szCs w:val="23"/>
        </w:rPr>
        <w:t>6/</w:t>
      </w:r>
      <w:r w:rsidR="00514C4F">
        <w:rPr>
          <w:rFonts w:ascii="Book Antiqua" w:hAnsi="Book Antiqua"/>
          <w:b/>
          <w:bCs/>
          <w:sz w:val="23"/>
          <w:szCs w:val="23"/>
        </w:rPr>
        <w:t>74</w:t>
      </w:r>
      <w:r w:rsidR="00933FF0">
        <w:rPr>
          <w:rFonts w:ascii="Book Antiqua" w:hAnsi="Book Antiqua"/>
          <w:b/>
          <w:bCs/>
          <w:sz w:val="23"/>
          <w:szCs w:val="23"/>
        </w:rPr>
        <w:t>(</w:t>
      </w:r>
      <w:r w:rsidR="00455750">
        <w:rPr>
          <w:rFonts w:ascii="Book Antiqua" w:hAnsi="Book Antiqua"/>
          <w:b/>
          <w:bCs/>
          <w:sz w:val="23"/>
          <w:szCs w:val="23"/>
        </w:rPr>
        <w:t>PDF76</w:t>
      </w:r>
      <w:r w:rsidR="00933FF0">
        <w:rPr>
          <w:rFonts w:ascii="Book Antiqua" w:hAnsi="Book Antiqua"/>
          <w:b/>
          <w:bCs/>
          <w:sz w:val="23"/>
          <w:szCs w:val="23"/>
        </w:rPr>
        <w:t>)</w:t>
      </w:r>
      <w:r w:rsidR="00455750">
        <w:rPr>
          <w:rFonts w:ascii="Book Antiqua" w:hAnsi="Book Antiqua"/>
          <w:b/>
          <w:bCs/>
          <w:sz w:val="23"/>
          <w:szCs w:val="23"/>
        </w:rPr>
        <w:t>]</w:t>
      </w:r>
      <w:r w:rsidR="00CD6818" w:rsidRPr="005B6CC7">
        <w:rPr>
          <w:rFonts w:ascii="Book Antiqua" w:hAnsi="Book Antiqua"/>
          <w:sz w:val="23"/>
          <w:szCs w:val="23"/>
        </w:rPr>
        <w:t>,</w:t>
      </w:r>
      <w:r w:rsidR="004B1A64" w:rsidRPr="005B6CC7">
        <w:rPr>
          <w:rFonts w:ascii="Book Antiqua" w:hAnsi="Book Antiqua"/>
          <w:sz w:val="23"/>
          <w:szCs w:val="23"/>
        </w:rPr>
        <w:t xml:space="preserve"> t</w:t>
      </w:r>
      <w:r w:rsidR="00AB2187" w:rsidRPr="005B6CC7">
        <w:rPr>
          <w:rFonts w:ascii="Book Antiqua" w:hAnsi="Book Antiqua"/>
          <w:sz w:val="23"/>
          <w:szCs w:val="23"/>
        </w:rPr>
        <w:t xml:space="preserve">he University has no other </w:t>
      </w:r>
      <w:r w:rsidR="00CD6818" w:rsidRPr="005B6CC7">
        <w:rPr>
          <w:rFonts w:ascii="Book Antiqua" w:hAnsi="Book Antiqua"/>
          <w:sz w:val="23"/>
          <w:szCs w:val="23"/>
        </w:rPr>
        <w:t xml:space="preserve">practical </w:t>
      </w:r>
      <w:r w:rsidR="00AB2187" w:rsidRPr="005B6CC7">
        <w:rPr>
          <w:rFonts w:ascii="Book Antiqua" w:hAnsi="Book Antiqua"/>
          <w:sz w:val="23"/>
          <w:szCs w:val="23"/>
        </w:rPr>
        <w:t>means of restraining the Defendants from</w:t>
      </w:r>
      <w:r w:rsidR="00CD6818" w:rsidRPr="005B6CC7">
        <w:rPr>
          <w:rFonts w:ascii="Book Antiqua" w:hAnsi="Book Antiqua"/>
          <w:sz w:val="23"/>
          <w:szCs w:val="23"/>
        </w:rPr>
        <w:t xml:space="preserve"> carrying out the Direct Action.</w:t>
      </w:r>
      <w:r w:rsidR="00411FA0" w:rsidRPr="005B6CC7">
        <w:rPr>
          <w:rFonts w:ascii="Book Antiqua" w:hAnsi="Book Antiqua"/>
          <w:sz w:val="23"/>
          <w:szCs w:val="23"/>
        </w:rPr>
        <w:t xml:space="preserve"> The University has attempted to engage in dialogue with protestors but that did not </w:t>
      </w:r>
      <w:r w:rsidR="00B6037D" w:rsidRPr="005B6CC7">
        <w:rPr>
          <w:rFonts w:ascii="Book Antiqua" w:hAnsi="Book Antiqua"/>
          <w:sz w:val="23"/>
          <w:szCs w:val="23"/>
        </w:rPr>
        <w:t xml:space="preserve">put a stop to the Direct Action: Rampton 1, </w:t>
      </w:r>
      <w:r w:rsidR="00CB0F8F" w:rsidRPr="005B6CC7">
        <w:rPr>
          <w:rFonts w:ascii="Book Antiqua" w:hAnsi="Book Antiqua"/>
          <w:sz w:val="23"/>
          <w:szCs w:val="23"/>
        </w:rPr>
        <w:t>§§</w:t>
      </w:r>
      <w:r w:rsidR="00B6037D" w:rsidRPr="005B6CC7">
        <w:rPr>
          <w:rFonts w:ascii="Book Antiqua" w:hAnsi="Book Antiqua"/>
          <w:sz w:val="23"/>
          <w:szCs w:val="23"/>
        </w:rPr>
        <w:t>84-</w:t>
      </w:r>
      <w:r w:rsidR="00CB0F8F" w:rsidRPr="005B6CC7">
        <w:rPr>
          <w:rFonts w:ascii="Book Antiqua" w:hAnsi="Book Antiqua"/>
          <w:sz w:val="23"/>
          <w:szCs w:val="23"/>
        </w:rPr>
        <w:t>97</w:t>
      </w:r>
      <w:r w:rsidR="00514C4F">
        <w:rPr>
          <w:rFonts w:ascii="Book Antiqua" w:hAnsi="Book Antiqua"/>
          <w:sz w:val="23"/>
          <w:szCs w:val="23"/>
        </w:rPr>
        <w:t xml:space="preserve"> </w:t>
      </w:r>
      <w:r w:rsidR="00514C4F">
        <w:rPr>
          <w:rFonts w:ascii="Book Antiqua" w:hAnsi="Book Antiqua"/>
          <w:b/>
          <w:bCs/>
          <w:sz w:val="23"/>
          <w:szCs w:val="23"/>
        </w:rPr>
        <w:t>[</w:t>
      </w:r>
      <w:r w:rsidR="00211D7C">
        <w:rPr>
          <w:rFonts w:ascii="Book Antiqua" w:hAnsi="Book Antiqua"/>
          <w:b/>
          <w:bCs/>
          <w:sz w:val="23"/>
          <w:szCs w:val="23"/>
        </w:rPr>
        <w:t>HB</w:t>
      </w:r>
      <w:r w:rsidR="00514C4F">
        <w:rPr>
          <w:rFonts w:ascii="Book Antiqua" w:hAnsi="Book Antiqua"/>
          <w:b/>
          <w:bCs/>
          <w:sz w:val="23"/>
          <w:szCs w:val="23"/>
        </w:rPr>
        <w:t>/</w:t>
      </w:r>
      <w:r w:rsidR="00455750">
        <w:rPr>
          <w:rFonts w:ascii="Book Antiqua" w:hAnsi="Book Antiqua"/>
          <w:b/>
          <w:bCs/>
          <w:sz w:val="23"/>
          <w:szCs w:val="23"/>
        </w:rPr>
        <w:t>6/</w:t>
      </w:r>
      <w:r w:rsidR="00514C4F">
        <w:rPr>
          <w:rFonts w:ascii="Book Antiqua" w:hAnsi="Book Antiqua"/>
          <w:b/>
          <w:bCs/>
          <w:sz w:val="23"/>
          <w:szCs w:val="23"/>
        </w:rPr>
        <w:t>6</w:t>
      </w:r>
      <w:r w:rsidR="00091F7A">
        <w:rPr>
          <w:rFonts w:ascii="Book Antiqua" w:hAnsi="Book Antiqua"/>
          <w:b/>
          <w:bCs/>
          <w:sz w:val="23"/>
          <w:szCs w:val="23"/>
        </w:rPr>
        <w:t>1</w:t>
      </w:r>
      <w:r w:rsidR="00933FF0">
        <w:rPr>
          <w:rFonts w:ascii="Book Antiqua" w:hAnsi="Book Antiqua"/>
          <w:b/>
          <w:bCs/>
          <w:sz w:val="23"/>
          <w:szCs w:val="23"/>
        </w:rPr>
        <w:t>(</w:t>
      </w:r>
      <w:r w:rsidR="00455750">
        <w:rPr>
          <w:rFonts w:ascii="Book Antiqua" w:hAnsi="Book Antiqua"/>
          <w:b/>
          <w:bCs/>
          <w:sz w:val="23"/>
          <w:szCs w:val="23"/>
        </w:rPr>
        <w:t>PDF63</w:t>
      </w:r>
      <w:r w:rsidR="00933FF0">
        <w:rPr>
          <w:rFonts w:ascii="Book Antiqua" w:hAnsi="Book Antiqua"/>
          <w:b/>
          <w:bCs/>
          <w:sz w:val="23"/>
          <w:szCs w:val="23"/>
        </w:rPr>
        <w:t>)</w:t>
      </w:r>
      <w:r w:rsidR="00455750">
        <w:rPr>
          <w:rFonts w:ascii="Book Antiqua" w:hAnsi="Book Antiqua"/>
          <w:b/>
          <w:bCs/>
          <w:sz w:val="23"/>
          <w:szCs w:val="23"/>
        </w:rPr>
        <w:t>]</w:t>
      </w:r>
      <w:r w:rsidR="00B6037D" w:rsidRPr="005B6CC7">
        <w:rPr>
          <w:rFonts w:ascii="Book Antiqua" w:hAnsi="Book Antiqua"/>
          <w:sz w:val="23"/>
          <w:szCs w:val="23"/>
        </w:rPr>
        <w:t>.</w:t>
      </w:r>
      <w:r w:rsidR="007B2915" w:rsidRPr="005B6CC7">
        <w:rPr>
          <w:rFonts w:ascii="Book Antiqua" w:hAnsi="Book Antiqua"/>
          <w:sz w:val="23"/>
          <w:szCs w:val="23"/>
        </w:rPr>
        <w:t xml:space="preserve"> </w:t>
      </w:r>
    </w:p>
    <w:p w14:paraId="1A308028" w14:textId="05EEB215" w:rsidR="00783561" w:rsidRDefault="00783561" w:rsidP="00624586">
      <w:pPr>
        <w:pStyle w:val="ListParagraph"/>
        <w:numPr>
          <w:ilvl w:val="0"/>
          <w:numId w:val="3"/>
        </w:numPr>
        <w:tabs>
          <w:tab w:val="left" w:pos="1701"/>
        </w:tabs>
        <w:spacing w:line="360" w:lineRule="auto"/>
        <w:ind w:left="567" w:hanging="567"/>
        <w:contextualSpacing w:val="0"/>
        <w:jc w:val="both"/>
        <w:rPr>
          <w:rFonts w:ascii="Book Antiqua" w:hAnsi="Book Antiqua"/>
          <w:sz w:val="23"/>
          <w:szCs w:val="23"/>
        </w:rPr>
      </w:pPr>
      <w:r>
        <w:rPr>
          <w:rFonts w:ascii="Book Antiqua" w:hAnsi="Book Antiqua"/>
          <w:sz w:val="23"/>
          <w:szCs w:val="23"/>
        </w:rPr>
        <w:t>The harm to the University of Direct Action</w:t>
      </w:r>
      <w:r w:rsidR="00406F32">
        <w:rPr>
          <w:rFonts w:ascii="Book Antiqua" w:hAnsi="Book Antiqua"/>
          <w:sz w:val="23"/>
          <w:szCs w:val="23"/>
        </w:rPr>
        <w:t xml:space="preserve"> on Senate House and Senate House Yard</w:t>
      </w:r>
      <w:r w:rsidR="005252E6">
        <w:rPr>
          <w:rFonts w:ascii="Book Antiqua" w:hAnsi="Book Antiqua"/>
          <w:sz w:val="23"/>
          <w:szCs w:val="23"/>
        </w:rPr>
        <w:t xml:space="preserve"> </w:t>
      </w:r>
      <w:r>
        <w:rPr>
          <w:rFonts w:ascii="Book Antiqua" w:hAnsi="Book Antiqua"/>
          <w:sz w:val="23"/>
          <w:szCs w:val="23"/>
        </w:rPr>
        <w:t xml:space="preserve"> was encapsulated in the </w:t>
      </w:r>
      <w:r w:rsidRPr="004C33CE">
        <w:rPr>
          <w:rFonts w:ascii="Book Antiqua" w:hAnsi="Book Antiqua"/>
          <w:sz w:val="23"/>
          <w:szCs w:val="23"/>
          <w:u w:val="single"/>
        </w:rPr>
        <w:t>Fordham Judgment</w:t>
      </w:r>
      <w:r>
        <w:rPr>
          <w:rFonts w:ascii="Book Antiqua" w:hAnsi="Book Antiqua"/>
          <w:sz w:val="23"/>
          <w:szCs w:val="23"/>
        </w:rPr>
        <w:t xml:space="preserve"> as follows:</w:t>
      </w:r>
    </w:p>
    <w:p w14:paraId="3C38FBE2" w14:textId="19CC765E" w:rsidR="00783561" w:rsidRDefault="00783561" w:rsidP="00783561">
      <w:pPr>
        <w:pStyle w:val="ListParagraph"/>
        <w:tabs>
          <w:tab w:val="left" w:pos="1701"/>
        </w:tabs>
        <w:spacing w:line="240" w:lineRule="auto"/>
        <w:ind w:left="1134"/>
        <w:contextualSpacing w:val="0"/>
        <w:jc w:val="both"/>
        <w:rPr>
          <w:rFonts w:ascii="Book Antiqua" w:hAnsi="Book Antiqua"/>
          <w:sz w:val="23"/>
          <w:szCs w:val="23"/>
        </w:rPr>
      </w:pPr>
      <w:r>
        <w:rPr>
          <w:rFonts w:ascii="Book Antiqua" w:hAnsi="Book Antiqua"/>
          <w:sz w:val="23"/>
          <w:szCs w:val="23"/>
        </w:rPr>
        <w:t>“</w:t>
      </w:r>
      <w:r w:rsidRPr="00783561">
        <w:rPr>
          <w:rFonts w:ascii="Book Antiqua" w:hAnsi="Book Antiqua"/>
          <w:sz w:val="23"/>
          <w:szCs w:val="23"/>
        </w:rPr>
        <w:t>34.</w:t>
      </w:r>
      <w:r>
        <w:rPr>
          <w:rFonts w:ascii="Book Antiqua" w:hAnsi="Book Antiqua"/>
          <w:sz w:val="23"/>
          <w:szCs w:val="23"/>
        </w:rPr>
        <w:t xml:space="preserve"> </w:t>
      </w:r>
      <w:r w:rsidRPr="00783561">
        <w:rPr>
          <w:rFonts w:ascii="Book Antiqua" w:hAnsi="Book Antiqua"/>
          <w:sz w:val="23"/>
          <w:szCs w:val="23"/>
        </w:rPr>
        <w:t>Alongside these points about the evidence of the risk there is the powerful evidence filed by the University, describing the impact for those for whom this is their graduation ceremony, and for their guests. That is the impact of a relocation to an alternative venue which, on the face of the evidence, would mean an event and location of a very different character. There is, in my judgment, powerful evidence – within the supporting witness evidence which can be viewed in the public domain on the injunction webpage – about these impacts and the impacts on the University itself and its staff. Against those impacts, I cannot see that there is any countervailing justification – still less compelling justification – which would extend to disrupting that graduation event by forcing it to again to be moved.</w:t>
      </w:r>
      <w:r>
        <w:rPr>
          <w:rFonts w:ascii="Book Antiqua" w:hAnsi="Book Antiqua"/>
          <w:sz w:val="23"/>
          <w:szCs w:val="23"/>
        </w:rPr>
        <w:t>”</w:t>
      </w:r>
    </w:p>
    <w:p w14:paraId="43C7E48F" w14:textId="2B4A3894" w:rsidR="00D80C58" w:rsidRDefault="005B6CC7" w:rsidP="00624586">
      <w:pPr>
        <w:pStyle w:val="ListParagraph"/>
        <w:numPr>
          <w:ilvl w:val="0"/>
          <w:numId w:val="3"/>
        </w:numPr>
        <w:tabs>
          <w:tab w:val="left" w:pos="1701"/>
        </w:tabs>
        <w:spacing w:line="360" w:lineRule="auto"/>
        <w:ind w:left="567" w:hanging="567"/>
        <w:contextualSpacing w:val="0"/>
        <w:jc w:val="both"/>
        <w:rPr>
          <w:rFonts w:ascii="Book Antiqua" w:hAnsi="Book Antiqua"/>
          <w:sz w:val="23"/>
          <w:szCs w:val="23"/>
        </w:rPr>
      </w:pPr>
      <w:r w:rsidRPr="005B6CC7">
        <w:rPr>
          <w:rFonts w:ascii="Book Antiqua" w:hAnsi="Book Antiqua"/>
          <w:b/>
          <w:bCs/>
          <w:sz w:val="23"/>
          <w:szCs w:val="23"/>
        </w:rPr>
        <w:t>Sixthly</w:t>
      </w:r>
      <w:r>
        <w:rPr>
          <w:rFonts w:ascii="Book Antiqua" w:hAnsi="Book Antiqua"/>
          <w:sz w:val="23"/>
          <w:szCs w:val="23"/>
        </w:rPr>
        <w:t>, i</w:t>
      </w:r>
      <w:r w:rsidR="00A5442D" w:rsidRPr="005B6CC7">
        <w:rPr>
          <w:rFonts w:ascii="Book Antiqua" w:hAnsi="Book Antiqua"/>
          <w:sz w:val="23"/>
          <w:szCs w:val="23"/>
        </w:rPr>
        <w:t>n terms of ECHR rights, t</w:t>
      </w:r>
      <w:r w:rsidR="002C645E" w:rsidRPr="005B6CC7">
        <w:rPr>
          <w:rFonts w:ascii="Book Antiqua" w:hAnsi="Book Antiqua"/>
          <w:sz w:val="23"/>
          <w:szCs w:val="23"/>
        </w:rPr>
        <w:t>he</w:t>
      </w:r>
      <w:r w:rsidR="00A5442D" w:rsidRPr="005B6CC7">
        <w:rPr>
          <w:rFonts w:ascii="Book Antiqua" w:hAnsi="Book Antiqua"/>
          <w:sz w:val="23"/>
          <w:szCs w:val="23"/>
        </w:rPr>
        <w:t xml:space="preserve"> Defendants might seek to rely on</w:t>
      </w:r>
      <w:r w:rsidR="002C645E" w:rsidRPr="005B6CC7">
        <w:rPr>
          <w:rFonts w:ascii="Book Antiqua" w:hAnsi="Book Antiqua"/>
          <w:sz w:val="23"/>
          <w:szCs w:val="23"/>
        </w:rPr>
        <w:t xml:space="preserve"> Article 10/11 ECHR</w:t>
      </w:r>
      <w:r w:rsidR="00A5442D" w:rsidRPr="005B6CC7">
        <w:rPr>
          <w:rFonts w:ascii="Book Antiqua" w:hAnsi="Book Antiqua"/>
          <w:sz w:val="23"/>
          <w:szCs w:val="23"/>
        </w:rPr>
        <w:t>. S</w:t>
      </w:r>
      <w:r w:rsidR="002C645E" w:rsidRPr="005B6CC7">
        <w:rPr>
          <w:rFonts w:ascii="Book Antiqua" w:hAnsi="Book Antiqua"/>
          <w:sz w:val="23"/>
          <w:szCs w:val="23"/>
        </w:rPr>
        <w:t>uch an argument is bound to fail</w:t>
      </w:r>
      <w:r w:rsidR="001122B6">
        <w:rPr>
          <w:rFonts w:ascii="Book Antiqua" w:hAnsi="Book Antiqua"/>
          <w:sz w:val="23"/>
          <w:szCs w:val="23"/>
        </w:rPr>
        <w:t xml:space="preserve">. </w:t>
      </w:r>
    </w:p>
    <w:p w14:paraId="1334933A" w14:textId="639C12CD" w:rsidR="00D80C58" w:rsidRDefault="00687FD0" w:rsidP="00624586">
      <w:pPr>
        <w:pStyle w:val="ListParagraph"/>
        <w:numPr>
          <w:ilvl w:val="0"/>
          <w:numId w:val="3"/>
        </w:numPr>
        <w:tabs>
          <w:tab w:val="left" w:pos="1701"/>
        </w:tabs>
        <w:spacing w:line="360" w:lineRule="auto"/>
        <w:ind w:left="567" w:hanging="567"/>
        <w:contextualSpacing w:val="0"/>
        <w:jc w:val="both"/>
        <w:rPr>
          <w:rFonts w:ascii="Book Antiqua" w:hAnsi="Book Antiqua"/>
          <w:sz w:val="23"/>
          <w:szCs w:val="23"/>
        </w:rPr>
      </w:pPr>
      <w:r>
        <w:rPr>
          <w:rFonts w:ascii="Book Antiqua" w:hAnsi="Book Antiqua"/>
          <w:sz w:val="23"/>
          <w:szCs w:val="23"/>
        </w:rPr>
        <w:t xml:space="preserve">For the purposes of this application, the University is content to proceed on the basis that </w:t>
      </w:r>
      <w:r w:rsidR="00503E5B">
        <w:rPr>
          <w:rFonts w:ascii="Book Antiqua" w:hAnsi="Book Antiqua"/>
          <w:sz w:val="23"/>
          <w:szCs w:val="23"/>
        </w:rPr>
        <w:t xml:space="preserve">it is a public authority and that </w:t>
      </w:r>
      <w:r w:rsidR="007C6E54">
        <w:rPr>
          <w:rFonts w:ascii="Book Antiqua" w:hAnsi="Book Antiqua"/>
          <w:sz w:val="23"/>
          <w:szCs w:val="23"/>
        </w:rPr>
        <w:t xml:space="preserve">the grant of injunctive relief would </w:t>
      </w:r>
      <w:r w:rsidR="00EE0A6C">
        <w:rPr>
          <w:rFonts w:ascii="Book Antiqua" w:hAnsi="Book Antiqua"/>
          <w:sz w:val="23"/>
          <w:szCs w:val="23"/>
        </w:rPr>
        <w:t>interfere with the Article 10 and 11 ECHR rights of</w:t>
      </w:r>
      <w:r w:rsidR="007C6E54">
        <w:rPr>
          <w:rFonts w:ascii="Book Antiqua" w:hAnsi="Book Antiqua"/>
          <w:sz w:val="23"/>
          <w:szCs w:val="23"/>
        </w:rPr>
        <w:t xml:space="preserve"> Persons Unknown.</w:t>
      </w:r>
      <w:r w:rsidR="00885065">
        <w:rPr>
          <w:rStyle w:val="FootnoteReference"/>
          <w:rFonts w:ascii="Book Antiqua" w:hAnsi="Book Antiqua"/>
          <w:sz w:val="23"/>
          <w:szCs w:val="23"/>
        </w:rPr>
        <w:footnoteReference w:id="5"/>
      </w:r>
      <w:r w:rsidR="00C93F25">
        <w:rPr>
          <w:rFonts w:ascii="Book Antiqua" w:hAnsi="Book Antiqua"/>
          <w:sz w:val="23"/>
          <w:szCs w:val="23"/>
        </w:rPr>
        <w:t xml:space="preserve"> </w:t>
      </w:r>
      <w:r w:rsidR="00AB5130">
        <w:rPr>
          <w:rFonts w:ascii="Book Antiqua" w:hAnsi="Book Antiqua"/>
          <w:sz w:val="23"/>
          <w:szCs w:val="23"/>
        </w:rPr>
        <w:t xml:space="preserve">This was the approach taken before Fordham J: </w:t>
      </w:r>
      <w:r w:rsidR="00AB5130" w:rsidRPr="004C33CE">
        <w:rPr>
          <w:rFonts w:ascii="Book Antiqua" w:hAnsi="Book Antiqua"/>
          <w:sz w:val="23"/>
          <w:szCs w:val="23"/>
          <w:u w:val="single"/>
        </w:rPr>
        <w:t>Fordham Judgment</w:t>
      </w:r>
      <w:r w:rsidR="00AB5130">
        <w:rPr>
          <w:rFonts w:ascii="Book Antiqua" w:hAnsi="Book Antiqua"/>
          <w:sz w:val="23"/>
          <w:szCs w:val="23"/>
        </w:rPr>
        <w:t>, §29.</w:t>
      </w:r>
    </w:p>
    <w:p w14:paraId="655728E7" w14:textId="07BFC39E" w:rsidR="006B7B32" w:rsidRPr="001122B6" w:rsidRDefault="00C93F25" w:rsidP="00624586">
      <w:pPr>
        <w:pStyle w:val="ListParagraph"/>
        <w:numPr>
          <w:ilvl w:val="0"/>
          <w:numId w:val="3"/>
        </w:numPr>
        <w:tabs>
          <w:tab w:val="left" w:pos="1701"/>
        </w:tabs>
        <w:spacing w:line="360" w:lineRule="auto"/>
        <w:ind w:left="567" w:hanging="567"/>
        <w:contextualSpacing w:val="0"/>
        <w:jc w:val="both"/>
        <w:rPr>
          <w:rFonts w:ascii="Book Antiqua" w:hAnsi="Book Antiqua"/>
          <w:sz w:val="23"/>
          <w:szCs w:val="23"/>
        </w:rPr>
      </w:pPr>
      <w:r>
        <w:rPr>
          <w:rFonts w:ascii="Book Antiqua" w:hAnsi="Book Antiqua"/>
          <w:sz w:val="23"/>
          <w:szCs w:val="23"/>
        </w:rPr>
        <w:t>A</w:t>
      </w:r>
      <w:r w:rsidR="00A431A7">
        <w:rPr>
          <w:rFonts w:ascii="Book Antiqua" w:hAnsi="Book Antiqua"/>
          <w:sz w:val="23"/>
          <w:szCs w:val="23"/>
        </w:rPr>
        <w:t>ny</w:t>
      </w:r>
      <w:r w:rsidR="002C645E" w:rsidRPr="001122B6">
        <w:rPr>
          <w:rFonts w:ascii="Book Antiqua" w:hAnsi="Book Antiqua"/>
          <w:sz w:val="23"/>
          <w:szCs w:val="23"/>
        </w:rPr>
        <w:t xml:space="preserve"> interfere</w:t>
      </w:r>
      <w:r w:rsidR="00A431A7">
        <w:rPr>
          <w:rFonts w:ascii="Book Antiqua" w:hAnsi="Book Antiqua"/>
          <w:sz w:val="23"/>
          <w:szCs w:val="23"/>
        </w:rPr>
        <w:t>nce</w:t>
      </w:r>
      <w:r w:rsidR="002C645E" w:rsidRPr="001122B6">
        <w:rPr>
          <w:rFonts w:ascii="Book Antiqua" w:hAnsi="Book Antiqua"/>
          <w:sz w:val="23"/>
          <w:szCs w:val="23"/>
        </w:rPr>
        <w:t xml:space="preserve"> with Article 10/11 ECHR rights</w:t>
      </w:r>
      <w:r w:rsidR="00A431A7">
        <w:rPr>
          <w:rFonts w:ascii="Book Antiqua" w:hAnsi="Book Antiqua"/>
          <w:sz w:val="23"/>
          <w:szCs w:val="23"/>
        </w:rPr>
        <w:t xml:space="preserve"> (by virtue of the sought injunction) would be</w:t>
      </w:r>
      <w:r w:rsidR="0010604D">
        <w:rPr>
          <w:rFonts w:ascii="Book Antiqua" w:hAnsi="Book Antiqua"/>
          <w:sz w:val="23"/>
          <w:szCs w:val="23"/>
        </w:rPr>
        <w:t xml:space="preserve"> justified in that</w:t>
      </w:r>
      <w:r w:rsidR="006B7B32" w:rsidRPr="001122B6">
        <w:rPr>
          <w:rFonts w:ascii="Book Antiqua" w:hAnsi="Book Antiqua"/>
          <w:sz w:val="23"/>
          <w:szCs w:val="23"/>
        </w:rPr>
        <w:t>:</w:t>
      </w:r>
      <w:r w:rsidR="00B15785">
        <w:rPr>
          <w:rStyle w:val="FootnoteReference"/>
          <w:rFonts w:ascii="Book Antiqua" w:hAnsi="Book Antiqua"/>
          <w:sz w:val="23"/>
          <w:szCs w:val="23"/>
        </w:rPr>
        <w:footnoteReference w:id="6"/>
      </w:r>
    </w:p>
    <w:p w14:paraId="5B14F7F6" w14:textId="796E6DD8" w:rsidR="0010604D" w:rsidRDefault="00A431A7" w:rsidP="00624586">
      <w:pPr>
        <w:pStyle w:val="ListParagraph"/>
        <w:numPr>
          <w:ilvl w:val="1"/>
          <w:numId w:val="3"/>
        </w:numPr>
        <w:tabs>
          <w:tab w:val="left" w:pos="1701"/>
        </w:tabs>
        <w:spacing w:line="360" w:lineRule="auto"/>
        <w:ind w:left="1701" w:hanging="567"/>
        <w:contextualSpacing w:val="0"/>
        <w:jc w:val="both"/>
        <w:rPr>
          <w:rFonts w:ascii="Book Antiqua" w:hAnsi="Book Antiqua"/>
          <w:sz w:val="23"/>
          <w:szCs w:val="23"/>
        </w:rPr>
      </w:pPr>
      <w:r>
        <w:rPr>
          <w:rFonts w:ascii="Book Antiqua" w:hAnsi="Book Antiqua"/>
          <w:sz w:val="23"/>
          <w:szCs w:val="23"/>
        </w:rPr>
        <w:t xml:space="preserve">It would be prescribed by law. </w:t>
      </w:r>
      <w:r w:rsidR="00D42C0A">
        <w:rPr>
          <w:rFonts w:ascii="Book Antiqua" w:hAnsi="Book Antiqua"/>
          <w:sz w:val="23"/>
          <w:szCs w:val="23"/>
        </w:rPr>
        <w:t xml:space="preserve">It would be the result of a Court-ordered prohibition flowing from powers in s.37 of the Senior Courts Act 1981. </w:t>
      </w:r>
    </w:p>
    <w:p w14:paraId="66FEDC06" w14:textId="00E84465" w:rsidR="00D42C0A" w:rsidRDefault="000E5988" w:rsidP="00624586">
      <w:pPr>
        <w:pStyle w:val="ListParagraph"/>
        <w:numPr>
          <w:ilvl w:val="1"/>
          <w:numId w:val="3"/>
        </w:numPr>
        <w:tabs>
          <w:tab w:val="left" w:pos="1701"/>
        </w:tabs>
        <w:spacing w:line="360" w:lineRule="auto"/>
        <w:ind w:left="1701" w:hanging="567"/>
        <w:contextualSpacing w:val="0"/>
        <w:jc w:val="both"/>
        <w:rPr>
          <w:rFonts w:ascii="Book Antiqua" w:hAnsi="Book Antiqua"/>
          <w:sz w:val="23"/>
          <w:szCs w:val="23"/>
        </w:rPr>
      </w:pPr>
      <w:r>
        <w:rPr>
          <w:rFonts w:ascii="Book Antiqua" w:hAnsi="Book Antiqua"/>
          <w:sz w:val="23"/>
          <w:szCs w:val="23"/>
        </w:rPr>
        <w:t xml:space="preserve">It would be in pursuit of the legitimate aim of protecting the University’s property rights as well as the rights and interests of third parties </w:t>
      </w:r>
      <w:r w:rsidR="00586519">
        <w:rPr>
          <w:rFonts w:ascii="Book Antiqua" w:hAnsi="Book Antiqua"/>
          <w:sz w:val="23"/>
          <w:szCs w:val="23"/>
        </w:rPr>
        <w:t xml:space="preserve">lawfully seeking to use the Land. </w:t>
      </w:r>
    </w:p>
    <w:p w14:paraId="50C5B5A2" w14:textId="667EB9C0" w:rsidR="002C645E" w:rsidRPr="00D80C58" w:rsidRDefault="00385475" w:rsidP="00624586">
      <w:pPr>
        <w:pStyle w:val="ListParagraph"/>
        <w:numPr>
          <w:ilvl w:val="1"/>
          <w:numId w:val="3"/>
        </w:numPr>
        <w:tabs>
          <w:tab w:val="left" w:pos="1701"/>
        </w:tabs>
        <w:spacing w:line="360" w:lineRule="auto"/>
        <w:ind w:left="1701" w:hanging="567"/>
        <w:contextualSpacing w:val="0"/>
        <w:jc w:val="both"/>
        <w:rPr>
          <w:rFonts w:ascii="Book Antiqua" w:hAnsi="Book Antiqua"/>
          <w:sz w:val="23"/>
          <w:szCs w:val="23"/>
        </w:rPr>
      </w:pPr>
      <w:r>
        <w:rPr>
          <w:rFonts w:ascii="Book Antiqua" w:hAnsi="Book Antiqua"/>
          <w:sz w:val="23"/>
          <w:szCs w:val="23"/>
        </w:rPr>
        <w:t>The injunction sought is proportionate</w:t>
      </w:r>
      <w:r w:rsidR="00E07E85">
        <w:rPr>
          <w:rFonts w:ascii="Book Antiqua" w:hAnsi="Book Antiqua"/>
          <w:sz w:val="23"/>
          <w:szCs w:val="23"/>
        </w:rPr>
        <w:t xml:space="preserve"> as: its aims are sufficiently important to justify any interference; there is a rational connection between the means chosen and the aims; </w:t>
      </w:r>
      <w:r w:rsidR="00CD2FA0">
        <w:rPr>
          <w:rFonts w:ascii="Book Antiqua" w:hAnsi="Book Antiqua"/>
          <w:sz w:val="23"/>
          <w:szCs w:val="23"/>
        </w:rPr>
        <w:t xml:space="preserve">and, there is a fair balance between the </w:t>
      </w:r>
      <w:r w:rsidR="00AF134E">
        <w:rPr>
          <w:rFonts w:ascii="Book Antiqua" w:hAnsi="Book Antiqua"/>
          <w:sz w:val="23"/>
          <w:szCs w:val="23"/>
        </w:rPr>
        <w:t xml:space="preserve">various rights at issue given (and see </w:t>
      </w:r>
      <w:r w:rsidR="002C645E" w:rsidRPr="00D80C58">
        <w:rPr>
          <w:rFonts w:ascii="Book Antiqua" w:hAnsi="Book Antiqua"/>
          <w:sz w:val="23"/>
          <w:szCs w:val="23"/>
          <w:u w:val="single"/>
        </w:rPr>
        <w:t>UoL</w:t>
      </w:r>
      <w:r w:rsidR="002C645E" w:rsidRPr="00D80C58">
        <w:rPr>
          <w:rFonts w:ascii="Book Antiqua" w:hAnsi="Book Antiqua"/>
          <w:sz w:val="23"/>
          <w:szCs w:val="23"/>
        </w:rPr>
        <w:t>, §36</w:t>
      </w:r>
      <w:r w:rsidR="00251BA3">
        <w:rPr>
          <w:rFonts w:ascii="Book Antiqua" w:hAnsi="Book Antiqua"/>
          <w:sz w:val="23"/>
          <w:szCs w:val="23"/>
        </w:rPr>
        <w:t xml:space="preserve"> </w:t>
      </w:r>
      <w:r w:rsidR="00251BA3">
        <w:rPr>
          <w:rFonts w:ascii="Book Antiqua" w:hAnsi="Book Antiqua"/>
          <w:b/>
          <w:bCs/>
          <w:sz w:val="23"/>
          <w:szCs w:val="23"/>
        </w:rPr>
        <w:t>[AB/14/4</w:t>
      </w:r>
      <w:r w:rsidR="00DC471D">
        <w:rPr>
          <w:rFonts w:ascii="Book Antiqua" w:hAnsi="Book Antiqua"/>
          <w:b/>
          <w:bCs/>
          <w:sz w:val="23"/>
          <w:szCs w:val="23"/>
        </w:rPr>
        <w:t>14</w:t>
      </w:r>
      <w:r w:rsidR="00251BA3">
        <w:rPr>
          <w:rFonts w:ascii="Book Antiqua" w:hAnsi="Book Antiqua"/>
          <w:b/>
          <w:bCs/>
          <w:sz w:val="23"/>
          <w:szCs w:val="23"/>
        </w:rPr>
        <w:t>]</w:t>
      </w:r>
      <w:r w:rsidR="002C645E" w:rsidRPr="00D80C58">
        <w:rPr>
          <w:rFonts w:ascii="Book Antiqua" w:hAnsi="Book Antiqua"/>
          <w:sz w:val="23"/>
          <w:szCs w:val="23"/>
        </w:rPr>
        <w:t>):</w:t>
      </w:r>
    </w:p>
    <w:p w14:paraId="2539A472" w14:textId="5095486A" w:rsidR="00FA3F81" w:rsidRDefault="00FA3F81" w:rsidP="00624586">
      <w:pPr>
        <w:pStyle w:val="ListParagraph"/>
        <w:numPr>
          <w:ilvl w:val="4"/>
          <w:numId w:val="3"/>
        </w:numPr>
        <w:tabs>
          <w:tab w:val="left" w:pos="1701"/>
        </w:tabs>
        <w:spacing w:line="360" w:lineRule="auto"/>
        <w:ind w:left="2835" w:hanging="567"/>
        <w:contextualSpacing w:val="0"/>
        <w:jc w:val="both"/>
        <w:rPr>
          <w:rFonts w:ascii="Book Antiqua" w:hAnsi="Book Antiqua"/>
          <w:sz w:val="23"/>
          <w:szCs w:val="23"/>
        </w:rPr>
      </w:pPr>
      <w:r>
        <w:rPr>
          <w:rFonts w:ascii="Book Antiqua" w:hAnsi="Book Antiqua"/>
          <w:sz w:val="23"/>
          <w:szCs w:val="23"/>
        </w:rPr>
        <w:t xml:space="preserve">The University only seeks relief in relation to two relatively small sites which have already </w:t>
      </w:r>
      <w:r w:rsidR="003308A3">
        <w:rPr>
          <w:rFonts w:ascii="Book Antiqua" w:hAnsi="Book Antiqua"/>
          <w:sz w:val="23"/>
          <w:szCs w:val="23"/>
        </w:rPr>
        <w:t xml:space="preserve">and recently </w:t>
      </w:r>
      <w:r>
        <w:rPr>
          <w:rFonts w:ascii="Book Antiqua" w:hAnsi="Book Antiqua"/>
          <w:sz w:val="23"/>
          <w:szCs w:val="23"/>
        </w:rPr>
        <w:t xml:space="preserve">been the subject of Direct Action. </w:t>
      </w:r>
    </w:p>
    <w:p w14:paraId="1B71BB68" w14:textId="05871AF5" w:rsidR="009A597F" w:rsidRDefault="009A597F" w:rsidP="00624586">
      <w:pPr>
        <w:pStyle w:val="ListParagraph"/>
        <w:numPr>
          <w:ilvl w:val="4"/>
          <w:numId w:val="3"/>
        </w:numPr>
        <w:tabs>
          <w:tab w:val="left" w:pos="1701"/>
        </w:tabs>
        <w:spacing w:line="360" w:lineRule="auto"/>
        <w:ind w:left="2835" w:hanging="567"/>
        <w:contextualSpacing w:val="0"/>
        <w:jc w:val="both"/>
        <w:rPr>
          <w:rFonts w:ascii="Book Antiqua" w:hAnsi="Book Antiqua"/>
          <w:sz w:val="23"/>
          <w:szCs w:val="23"/>
        </w:rPr>
      </w:pPr>
      <w:r>
        <w:rPr>
          <w:rFonts w:ascii="Book Antiqua" w:hAnsi="Book Antiqua"/>
          <w:sz w:val="23"/>
          <w:szCs w:val="23"/>
        </w:rPr>
        <w:t>Interim relief is sought for only a short duration – approximately 4 months</w:t>
      </w:r>
      <w:r w:rsidR="00C10724">
        <w:rPr>
          <w:rFonts w:ascii="Book Antiqua" w:hAnsi="Book Antiqua"/>
          <w:sz w:val="23"/>
          <w:szCs w:val="23"/>
        </w:rPr>
        <w:t>, the expiry of which</w:t>
      </w:r>
      <w:r w:rsidR="00974A90">
        <w:rPr>
          <w:rFonts w:ascii="Book Antiqua" w:hAnsi="Book Antiqua"/>
          <w:sz w:val="23"/>
          <w:szCs w:val="23"/>
        </w:rPr>
        <w:t xml:space="preserve"> </w:t>
      </w:r>
      <w:r w:rsidR="00C10724">
        <w:rPr>
          <w:rFonts w:ascii="Book Antiqua" w:hAnsi="Book Antiqua"/>
          <w:sz w:val="23"/>
          <w:szCs w:val="23"/>
        </w:rPr>
        <w:t xml:space="preserve">would </w:t>
      </w:r>
      <w:r w:rsidR="00974A90">
        <w:rPr>
          <w:rFonts w:ascii="Book Antiqua" w:hAnsi="Book Antiqua"/>
          <w:sz w:val="23"/>
          <w:szCs w:val="23"/>
        </w:rPr>
        <w:t xml:space="preserve">coincide with the end of the academic year. </w:t>
      </w:r>
    </w:p>
    <w:p w14:paraId="1BEB24BE" w14:textId="11E0F2E5" w:rsidR="000C405A" w:rsidRDefault="000C405A" w:rsidP="00624586">
      <w:pPr>
        <w:pStyle w:val="ListParagraph"/>
        <w:numPr>
          <w:ilvl w:val="4"/>
          <w:numId w:val="3"/>
        </w:numPr>
        <w:tabs>
          <w:tab w:val="left" w:pos="1701"/>
        </w:tabs>
        <w:spacing w:line="360" w:lineRule="auto"/>
        <w:ind w:left="2835" w:hanging="567"/>
        <w:contextualSpacing w:val="0"/>
        <w:jc w:val="both"/>
        <w:rPr>
          <w:rFonts w:ascii="Book Antiqua" w:hAnsi="Book Antiqua"/>
          <w:sz w:val="23"/>
          <w:szCs w:val="23"/>
        </w:rPr>
      </w:pPr>
      <w:r w:rsidRPr="00256E5B">
        <w:rPr>
          <w:rFonts w:ascii="Book Antiqua" w:hAnsi="Book Antiqua"/>
          <w:sz w:val="23"/>
          <w:szCs w:val="23"/>
        </w:rPr>
        <w:t>Direct action, by which the Defendants are seeking to compel others to act in a certain way, rather than persuade them, is not at the core of Article 10/11 ECHR rights</w:t>
      </w:r>
      <w:r>
        <w:rPr>
          <w:rFonts w:ascii="Book Antiqua" w:hAnsi="Book Antiqua"/>
          <w:sz w:val="23"/>
          <w:szCs w:val="23"/>
        </w:rPr>
        <w:t xml:space="preserve">: </w:t>
      </w:r>
      <w:r w:rsidRPr="0094375D">
        <w:rPr>
          <w:rFonts w:ascii="Book Antiqua" w:hAnsi="Book Antiqua"/>
          <w:u w:val="single"/>
          <w:lang w:val="en-GB"/>
        </w:rPr>
        <w:t>Esso Petroleum v Persons Unknown</w:t>
      </w:r>
      <w:r w:rsidRPr="008975B1">
        <w:rPr>
          <w:rFonts w:ascii="Book Antiqua" w:hAnsi="Book Antiqua"/>
          <w:i/>
          <w:iCs/>
          <w:lang w:val="en-GB"/>
        </w:rPr>
        <w:t xml:space="preserve"> </w:t>
      </w:r>
      <w:r w:rsidRPr="008975B1">
        <w:rPr>
          <w:rFonts w:ascii="Book Antiqua" w:hAnsi="Book Antiqua"/>
          <w:lang w:val="en-GB"/>
        </w:rPr>
        <w:t>[2023] EWHC 1837 (KB), §57 (Linden J)</w:t>
      </w:r>
      <w:r w:rsidR="00B72A2E">
        <w:rPr>
          <w:rFonts w:ascii="Book Antiqua" w:hAnsi="Book Antiqua"/>
          <w:lang w:val="en-GB"/>
        </w:rPr>
        <w:t xml:space="preserve"> </w:t>
      </w:r>
      <w:r w:rsidR="00B72A2E">
        <w:rPr>
          <w:rFonts w:ascii="Book Antiqua" w:hAnsi="Book Antiqua"/>
          <w:b/>
          <w:bCs/>
          <w:sz w:val="23"/>
          <w:szCs w:val="23"/>
        </w:rPr>
        <w:t>[AB/</w:t>
      </w:r>
      <w:r w:rsidR="00A5485B">
        <w:rPr>
          <w:rFonts w:ascii="Book Antiqua" w:hAnsi="Book Antiqua"/>
          <w:b/>
          <w:bCs/>
          <w:sz w:val="23"/>
          <w:szCs w:val="23"/>
        </w:rPr>
        <w:t>5</w:t>
      </w:r>
      <w:r w:rsidR="00B72A2E">
        <w:rPr>
          <w:rFonts w:ascii="Book Antiqua" w:hAnsi="Book Antiqua"/>
          <w:b/>
          <w:bCs/>
          <w:sz w:val="23"/>
          <w:szCs w:val="23"/>
        </w:rPr>
        <w:t>/</w:t>
      </w:r>
      <w:r w:rsidR="00A5485B">
        <w:rPr>
          <w:rFonts w:ascii="Book Antiqua" w:hAnsi="Book Antiqua"/>
          <w:b/>
          <w:bCs/>
          <w:sz w:val="23"/>
          <w:szCs w:val="23"/>
        </w:rPr>
        <w:t>122</w:t>
      </w:r>
      <w:r w:rsidR="00B72A2E">
        <w:rPr>
          <w:rFonts w:ascii="Book Antiqua" w:hAnsi="Book Antiqua"/>
          <w:b/>
          <w:bCs/>
          <w:sz w:val="23"/>
          <w:szCs w:val="23"/>
        </w:rPr>
        <w:t>]</w:t>
      </w:r>
      <w:r>
        <w:rPr>
          <w:rFonts w:ascii="Book Antiqua" w:hAnsi="Book Antiqua"/>
          <w:lang w:val="en-GB"/>
        </w:rPr>
        <w:t>.</w:t>
      </w:r>
    </w:p>
    <w:p w14:paraId="05CC8A77" w14:textId="77777777" w:rsidR="000F6011" w:rsidRDefault="000F6011" w:rsidP="00624586">
      <w:pPr>
        <w:pStyle w:val="ListParagraph"/>
        <w:numPr>
          <w:ilvl w:val="4"/>
          <w:numId w:val="3"/>
        </w:numPr>
        <w:tabs>
          <w:tab w:val="left" w:pos="1701"/>
        </w:tabs>
        <w:spacing w:line="360" w:lineRule="auto"/>
        <w:ind w:left="2835" w:hanging="567"/>
        <w:contextualSpacing w:val="0"/>
        <w:jc w:val="both"/>
        <w:rPr>
          <w:rFonts w:ascii="Book Antiqua" w:hAnsi="Book Antiqua"/>
          <w:sz w:val="23"/>
          <w:szCs w:val="23"/>
        </w:rPr>
      </w:pPr>
      <w:r>
        <w:rPr>
          <w:rFonts w:ascii="Book Antiqua" w:hAnsi="Book Antiqua"/>
          <w:sz w:val="23"/>
          <w:szCs w:val="23"/>
        </w:rPr>
        <w:t>Having breached the terms of their contract with the University and the Code, t</w:t>
      </w:r>
      <w:r w:rsidRPr="00256E5B">
        <w:rPr>
          <w:rFonts w:ascii="Book Antiqua" w:hAnsi="Book Antiqua"/>
          <w:sz w:val="23"/>
          <w:szCs w:val="23"/>
        </w:rPr>
        <w:t xml:space="preserve">he Defendants have no licence or other right to carry out the </w:t>
      </w:r>
      <w:r>
        <w:rPr>
          <w:rFonts w:ascii="Book Antiqua" w:hAnsi="Book Antiqua"/>
          <w:sz w:val="23"/>
          <w:szCs w:val="23"/>
        </w:rPr>
        <w:t>D</w:t>
      </w:r>
      <w:r w:rsidRPr="00256E5B">
        <w:rPr>
          <w:rFonts w:ascii="Book Antiqua" w:hAnsi="Book Antiqua"/>
          <w:sz w:val="23"/>
          <w:szCs w:val="23"/>
        </w:rPr>
        <w:t xml:space="preserve">irect </w:t>
      </w:r>
      <w:r>
        <w:rPr>
          <w:rFonts w:ascii="Book Antiqua" w:hAnsi="Book Antiqua"/>
          <w:sz w:val="23"/>
          <w:szCs w:val="23"/>
        </w:rPr>
        <w:t>A</w:t>
      </w:r>
      <w:r w:rsidRPr="00256E5B">
        <w:rPr>
          <w:rFonts w:ascii="Book Antiqua" w:hAnsi="Book Antiqua"/>
          <w:sz w:val="23"/>
          <w:szCs w:val="23"/>
        </w:rPr>
        <w:t xml:space="preserve">ction. </w:t>
      </w:r>
    </w:p>
    <w:p w14:paraId="4BD5F9E4" w14:textId="7E1F2C54" w:rsidR="002C645E" w:rsidRDefault="002C645E" w:rsidP="00624586">
      <w:pPr>
        <w:pStyle w:val="ListParagraph"/>
        <w:numPr>
          <w:ilvl w:val="4"/>
          <w:numId w:val="3"/>
        </w:numPr>
        <w:tabs>
          <w:tab w:val="left" w:pos="1701"/>
        </w:tabs>
        <w:spacing w:line="360" w:lineRule="auto"/>
        <w:ind w:left="2835" w:hanging="567"/>
        <w:contextualSpacing w:val="0"/>
        <w:jc w:val="both"/>
        <w:rPr>
          <w:rFonts w:ascii="Book Antiqua" w:hAnsi="Book Antiqua"/>
          <w:sz w:val="23"/>
          <w:szCs w:val="23"/>
        </w:rPr>
      </w:pPr>
      <w:r w:rsidRPr="00256E5B">
        <w:rPr>
          <w:rFonts w:ascii="Book Antiqua" w:hAnsi="Book Antiqua"/>
          <w:sz w:val="23"/>
          <w:szCs w:val="23"/>
        </w:rPr>
        <w:t xml:space="preserve">The nature of the </w:t>
      </w:r>
      <w:r>
        <w:rPr>
          <w:rFonts w:ascii="Book Antiqua" w:hAnsi="Book Antiqua"/>
          <w:sz w:val="23"/>
          <w:szCs w:val="23"/>
        </w:rPr>
        <w:t>D</w:t>
      </w:r>
      <w:r w:rsidRPr="00256E5B">
        <w:rPr>
          <w:rFonts w:ascii="Book Antiqua" w:hAnsi="Book Antiqua"/>
          <w:sz w:val="23"/>
          <w:szCs w:val="23"/>
        </w:rPr>
        <w:t xml:space="preserve">irect </w:t>
      </w:r>
      <w:r>
        <w:rPr>
          <w:rFonts w:ascii="Book Antiqua" w:hAnsi="Book Antiqua"/>
          <w:sz w:val="23"/>
          <w:szCs w:val="23"/>
        </w:rPr>
        <w:t>A</w:t>
      </w:r>
      <w:r w:rsidRPr="00256E5B">
        <w:rPr>
          <w:rFonts w:ascii="Book Antiqua" w:hAnsi="Book Antiqua"/>
          <w:sz w:val="23"/>
          <w:szCs w:val="23"/>
        </w:rPr>
        <w:t xml:space="preserve">ction is such as to exclude the use of the Land by the </w:t>
      </w:r>
      <w:r w:rsidR="000217FD">
        <w:rPr>
          <w:rFonts w:ascii="Book Antiqua" w:hAnsi="Book Antiqua"/>
          <w:sz w:val="23"/>
          <w:szCs w:val="23"/>
        </w:rPr>
        <w:t>University</w:t>
      </w:r>
      <w:r w:rsidRPr="00256E5B">
        <w:rPr>
          <w:rFonts w:ascii="Book Antiqua" w:hAnsi="Book Antiqua"/>
          <w:sz w:val="23"/>
          <w:szCs w:val="23"/>
        </w:rPr>
        <w:t xml:space="preserve"> and all others who have a lawful right to be there. </w:t>
      </w:r>
    </w:p>
    <w:p w14:paraId="63D91D8D" w14:textId="474CD918" w:rsidR="002C645E" w:rsidRDefault="002C645E" w:rsidP="00624586">
      <w:pPr>
        <w:pStyle w:val="ListParagraph"/>
        <w:numPr>
          <w:ilvl w:val="4"/>
          <w:numId w:val="3"/>
        </w:numPr>
        <w:tabs>
          <w:tab w:val="left" w:pos="1701"/>
        </w:tabs>
        <w:spacing w:line="360" w:lineRule="auto"/>
        <w:ind w:left="2835" w:hanging="567"/>
        <w:contextualSpacing w:val="0"/>
        <w:jc w:val="both"/>
        <w:rPr>
          <w:rFonts w:ascii="Book Antiqua" w:hAnsi="Book Antiqua"/>
          <w:sz w:val="23"/>
          <w:szCs w:val="23"/>
        </w:rPr>
      </w:pPr>
      <w:r w:rsidRPr="00256E5B">
        <w:rPr>
          <w:rFonts w:ascii="Book Antiqua" w:hAnsi="Book Antiqua"/>
          <w:sz w:val="23"/>
          <w:szCs w:val="23"/>
        </w:rPr>
        <w:t xml:space="preserve">The Defendants have now carried out </w:t>
      </w:r>
      <w:r>
        <w:rPr>
          <w:rFonts w:ascii="Book Antiqua" w:hAnsi="Book Antiqua"/>
          <w:sz w:val="23"/>
          <w:szCs w:val="23"/>
        </w:rPr>
        <w:t>D</w:t>
      </w:r>
      <w:r w:rsidRPr="00256E5B">
        <w:rPr>
          <w:rFonts w:ascii="Book Antiqua" w:hAnsi="Book Antiqua"/>
          <w:sz w:val="23"/>
          <w:szCs w:val="23"/>
        </w:rPr>
        <w:t xml:space="preserve">irect </w:t>
      </w:r>
      <w:r>
        <w:rPr>
          <w:rFonts w:ascii="Book Antiqua" w:hAnsi="Book Antiqua"/>
          <w:sz w:val="23"/>
          <w:szCs w:val="23"/>
        </w:rPr>
        <w:t>A</w:t>
      </w:r>
      <w:r w:rsidRPr="00256E5B">
        <w:rPr>
          <w:rFonts w:ascii="Book Antiqua" w:hAnsi="Book Antiqua"/>
          <w:sz w:val="23"/>
          <w:szCs w:val="23"/>
        </w:rPr>
        <w:t xml:space="preserve">ction on the Land on three separate occasions </w:t>
      </w:r>
      <w:r w:rsidR="00464E10">
        <w:rPr>
          <w:rFonts w:ascii="Book Antiqua" w:hAnsi="Book Antiqua"/>
          <w:sz w:val="23"/>
          <w:szCs w:val="23"/>
        </w:rPr>
        <w:t xml:space="preserve">in the recent past </w:t>
      </w:r>
      <w:r w:rsidRPr="00256E5B">
        <w:rPr>
          <w:rFonts w:ascii="Book Antiqua" w:hAnsi="Book Antiqua"/>
          <w:sz w:val="23"/>
          <w:szCs w:val="23"/>
        </w:rPr>
        <w:t>at great disruption</w:t>
      </w:r>
      <w:r>
        <w:rPr>
          <w:rFonts w:ascii="Book Antiqua" w:hAnsi="Book Antiqua"/>
          <w:sz w:val="23"/>
          <w:szCs w:val="23"/>
        </w:rPr>
        <w:t>, and cost,</w:t>
      </w:r>
      <w:r w:rsidRPr="00256E5B">
        <w:rPr>
          <w:rFonts w:ascii="Book Antiqua" w:hAnsi="Book Antiqua"/>
          <w:sz w:val="23"/>
          <w:szCs w:val="23"/>
        </w:rPr>
        <w:t xml:space="preserve"> to the University, the Colleges, staff, </w:t>
      </w:r>
      <w:r w:rsidR="00AB7384">
        <w:rPr>
          <w:rFonts w:ascii="Book Antiqua" w:hAnsi="Book Antiqua"/>
          <w:sz w:val="23"/>
          <w:szCs w:val="23"/>
        </w:rPr>
        <w:t xml:space="preserve">graduating </w:t>
      </w:r>
      <w:r w:rsidRPr="00256E5B">
        <w:rPr>
          <w:rFonts w:ascii="Book Antiqua" w:hAnsi="Book Antiqua"/>
          <w:sz w:val="23"/>
          <w:szCs w:val="23"/>
        </w:rPr>
        <w:t xml:space="preserve">students and the guests of students. </w:t>
      </w:r>
    </w:p>
    <w:p w14:paraId="205FA86B" w14:textId="57604DF8" w:rsidR="002C645E" w:rsidRDefault="002C645E" w:rsidP="00624586">
      <w:pPr>
        <w:pStyle w:val="ListParagraph"/>
        <w:numPr>
          <w:ilvl w:val="4"/>
          <w:numId w:val="3"/>
        </w:numPr>
        <w:tabs>
          <w:tab w:val="left" w:pos="1701"/>
        </w:tabs>
        <w:spacing w:line="360" w:lineRule="auto"/>
        <w:ind w:left="2835" w:hanging="567"/>
        <w:contextualSpacing w:val="0"/>
        <w:jc w:val="both"/>
        <w:rPr>
          <w:rFonts w:ascii="Book Antiqua" w:hAnsi="Book Antiqua"/>
          <w:sz w:val="23"/>
          <w:szCs w:val="23"/>
        </w:rPr>
      </w:pPr>
      <w:r w:rsidRPr="00256E5B">
        <w:rPr>
          <w:rFonts w:ascii="Book Antiqua" w:hAnsi="Book Antiqua"/>
          <w:sz w:val="23"/>
          <w:szCs w:val="23"/>
        </w:rPr>
        <w:t xml:space="preserve">There is </w:t>
      </w:r>
      <w:r w:rsidR="008A62B2">
        <w:rPr>
          <w:rFonts w:ascii="Book Antiqua" w:hAnsi="Book Antiqua"/>
          <w:sz w:val="23"/>
          <w:szCs w:val="23"/>
        </w:rPr>
        <w:t>limited</w:t>
      </w:r>
      <w:r w:rsidRPr="00256E5B">
        <w:rPr>
          <w:rFonts w:ascii="Book Antiqua" w:hAnsi="Book Antiqua"/>
          <w:sz w:val="23"/>
          <w:szCs w:val="23"/>
        </w:rPr>
        <w:t xml:space="preserve"> connection between the Land and the substance of the Defendants’ protest. </w:t>
      </w:r>
    </w:p>
    <w:p w14:paraId="23E37C53" w14:textId="430FBA63" w:rsidR="002C645E" w:rsidRDefault="002C645E" w:rsidP="00624586">
      <w:pPr>
        <w:pStyle w:val="ListParagraph"/>
        <w:numPr>
          <w:ilvl w:val="4"/>
          <w:numId w:val="3"/>
        </w:numPr>
        <w:tabs>
          <w:tab w:val="left" w:pos="1701"/>
        </w:tabs>
        <w:spacing w:line="360" w:lineRule="auto"/>
        <w:ind w:left="2835" w:hanging="567"/>
        <w:contextualSpacing w:val="0"/>
        <w:jc w:val="both"/>
        <w:rPr>
          <w:rFonts w:ascii="Book Antiqua" w:hAnsi="Book Antiqua"/>
          <w:sz w:val="23"/>
          <w:szCs w:val="23"/>
        </w:rPr>
      </w:pPr>
      <w:r w:rsidRPr="002C645E">
        <w:rPr>
          <w:rFonts w:ascii="Book Antiqua" w:hAnsi="Book Antiqua"/>
          <w:sz w:val="23"/>
          <w:szCs w:val="23"/>
        </w:rPr>
        <w:t>The Defendants are able to protest at other locations and through other methods without causing significant disruption to the University, its staff and students.</w:t>
      </w:r>
      <w:r w:rsidR="00464E10">
        <w:rPr>
          <w:rFonts w:ascii="Book Antiqua" w:hAnsi="Book Antiqua"/>
          <w:sz w:val="23"/>
          <w:szCs w:val="23"/>
        </w:rPr>
        <w:t xml:space="preserve"> One example is the rally on 1 March 2025 which took place </w:t>
      </w:r>
      <w:r w:rsidR="009A597F">
        <w:rPr>
          <w:rFonts w:ascii="Book Antiqua" w:hAnsi="Book Antiqua"/>
          <w:sz w:val="23"/>
          <w:szCs w:val="23"/>
        </w:rPr>
        <w:t xml:space="preserve">just outside the Land. </w:t>
      </w:r>
    </w:p>
    <w:p w14:paraId="1D8EA931" w14:textId="7609F722" w:rsidR="000F6011" w:rsidRPr="003F5585" w:rsidRDefault="000F6011" w:rsidP="00624586">
      <w:pPr>
        <w:pStyle w:val="ListParagraph"/>
        <w:numPr>
          <w:ilvl w:val="4"/>
          <w:numId w:val="3"/>
        </w:numPr>
        <w:tabs>
          <w:tab w:val="left" w:pos="1701"/>
        </w:tabs>
        <w:spacing w:line="360" w:lineRule="auto"/>
        <w:ind w:left="2835" w:hanging="567"/>
        <w:contextualSpacing w:val="0"/>
        <w:jc w:val="both"/>
        <w:rPr>
          <w:rFonts w:ascii="Book Antiqua" w:hAnsi="Book Antiqua"/>
          <w:sz w:val="23"/>
          <w:szCs w:val="23"/>
        </w:rPr>
      </w:pPr>
      <w:r>
        <w:rPr>
          <w:rFonts w:ascii="Book Antiqua" w:hAnsi="Book Antiqua"/>
          <w:sz w:val="23"/>
          <w:szCs w:val="23"/>
        </w:rPr>
        <w:t xml:space="preserve">There are no </w:t>
      </w:r>
      <w:r w:rsidR="00E92685">
        <w:rPr>
          <w:rFonts w:ascii="Book Antiqua" w:hAnsi="Book Antiqua"/>
          <w:sz w:val="23"/>
          <w:szCs w:val="23"/>
        </w:rPr>
        <w:t xml:space="preserve">less restrictive or intrusive alternative means available to the University. These are for the reasons set out at </w:t>
      </w:r>
      <w:r w:rsidR="00E92685" w:rsidRPr="00AE07CA">
        <w:rPr>
          <w:rFonts w:ascii="Book Antiqua" w:hAnsi="Book Antiqua"/>
          <w:sz w:val="23"/>
          <w:szCs w:val="23"/>
        </w:rPr>
        <w:t>§</w:t>
      </w:r>
      <w:r w:rsidR="00DB62A5" w:rsidRPr="00AE07CA">
        <w:rPr>
          <w:rFonts w:ascii="Book Antiqua" w:hAnsi="Book Antiqua"/>
          <w:sz w:val="23"/>
          <w:szCs w:val="23"/>
        </w:rPr>
        <w:t>5</w:t>
      </w:r>
      <w:r w:rsidR="00AE07CA" w:rsidRPr="00AE07CA">
        <w:rPr>
          <w:rFonts w:ascii="Book Antiqua" w:hAnsi="Book Antiqua"/>
          <w:sz w:val="23"/>
          <w:szCs w:val="23"/>
        </w:rPr>
        <w:t>3</w:t>
      </w:r>
      <w:r w:rsidR="00E92685" w:rsidRPr="00AE07CA">
        <w:rPr>
          <w:rFonts w:ascii="Book Antiqua" w:hAnsi="Book Antiqua"/>
          <w:sz w:val="23"/>
          <w:szCs w:val="23"/>
        </w:rPr>
        <w:t xml:space="preserve"> above.</w:t>
      </w:r>
    </w:p>
    <w:p w14:paraId="60AE142B" w14:textId="48E6C74E" w:rsidR="00352077" w:rsidRPr="00352077" w:rsidRDefault="00352077" w:rsidP="00624586">
      <w:pPr>
        <w:pStyle w:val="ListParagraph"/>
        <w:numPr>
          <w:ilvl w:val="0"/>
          <w:numId w:val="3"/>
        </w:numPr>
        <w:tabs>
          <w:tab w:val="left" w:pos="1701"/>
        </w:tabs>
        <w:spacing w:line="360" w:lineRule="auto"/>
        <w:ind w:left="567" w:hanging="567"/>
        <w:contextualSpacing w:val="0"/>
        <w:jc w:val="both"/>
        <w:rPr>
          <w:rFonts w:ascii="Book Antiqua" w:hAnsi="Book Antiqua"/>
          <w:sz w:val="23"/>
          <w:szCs w:val="23"/>
        </w:rPr>
      </w:pPr>
      <w:r w:rsidRPr="00352077">
        <w:rPr>
          <w:rFonts w:ascii="Book Antiqua" w:eastAsia="Book Antiqua" w:hAnsi="Book Antiqua" w:cs="Book Antiqua"/>
          <w:b/>
          <w:bCs/>
          <w:color w:val="000000"/>
          <w:sz w:val="23"/>
          <w:szCs w:val="23"/>
        </w:rPr>
        <w:t>Seventhly</w:t>
      </w:r>
      <w:r>
        <w:rPr>
          <w:rFonts w:ascii="Book Antiqua" w:eastAsia="Book Antiqua" w:hAnsi="Book Antiqua" w:cs="Book Antiqua"/>
          <w:color w:val="000000"/>
          <w:sz w:val="23"/>
          <w:szCs w:val="23"/>
        </w:rPr>
        <w:t>, d</w:t>
      </w:r>
      <w:r w:rsidR="00B56821" w:rsidRPr="00352077">
        <w:rPr>
          <w:rFonts w:ascii="Book Antiqua" w:eastAsia="Book Antiqua" w:hAnsi="Book Antiqua" w:cs="Book Antiqua"/>
          <w:color w:val="000000"/>
          <w:sz w:val="23"/>
          <w:szCs w:val="23"/>
        </w:rPr>
        <w:t>amages are not an adequate remedy</w:t>
      </w:r>
      <w:r w:rsidR="003A48E6" w:rsidRPr="00352077">
        <w:rPr>
          <w:rFonts w:ascii="Book Antiqua" w:eastAsia="Book Antiqua" w:hAnsi="Book Antiqua" w:cs="Book Antiqua"/>
          <w:color w:val="000000"/>
          <w:sz w:val="23"/>
          <w:szCs w:val="23"/>
        </w:rPr>
        <w:t xml:space="preserve"> as: (1) </w:t>
      </w:r>
      <w:r w:rsidR="00AC5C3D" w:rsidRPr="00352077">
        <w:rPr>
          <w:rFonts w:ascii="Book Antiqua" w:eastAsia="Book Antiqua" w:hAnsi="Book Antiqua" w:cs="Book Antiqua"/>
          <w:color w:val="000000"/>
          <w:sz w:val="23"/>
          <w:szCs w:val="23"/>
        </w:rPr>
        <w:t>significant element</w:t>
      </w:r>
      <w:r w:rsidR="00DC762A" w:rsidRPr="00352077">
        <w:rPr>
          <w:rFonts w:ascii="Book Antiqua" w:eastAsia="Book Antiqua" w:hAnsi="Book Antiqua" w:cs="Book Antiqua"/>
          <w:color w:val="000000"/>
          <w:sz w:val="23"/>
          <w:szCs w:val="23"/>
        </w:rPr>
        <w:t>s</w:t>
      </w:r>
      <w:r w:rsidR="00AC5C3D" w:rsidRPr="00352077">
        <w:rPr>
          <w:rFonts w:ascii="Book Antiqua" w:eastAsia="Book Antiqua" w:hAnsi="Book Antiqua" w:cs="Book Antiqua"/>
          <w:color w:val="000000"/>
          <w:sz w:val="23"/>
          <w:szCs w:val="23"/>
        </w:rPr>
        <w:t xml:space="preserve"> of the harm – i.e. disrupted graduation ceremonies</w:t>
      </w:r>
      <w:r w:rsidR="00DC762A" w:rsidRPr="00352077">
        <w:rPr>
          <w:rFonts w:ascii="Book Antiqua" w:eastAsia="Book Antiqua" w:hAnsi="Book Antiqua" w:cs="Book Antiqua"/>
          <w:color w:val="000000"/>
          <w:sz w:val="23"/>
          <w:szCs w:val="23"/>
        </w:rPr>
        <w:t xml:space="preserve">, damage to reputation, and health and safety concerns </w:t>
      </w:r>
      <w:r w:rsidR="00AC5C3D" w:rsidRPr="00352077">
        <w:rPr>
          <w:rFonts w:ascii="Book Antiqua" w:eastAsia="Book Antiqua" w:hAnsi="Book Antiqua" w:cs="Book Antiqua"/>
          <w:color w:val="000000"/>
          <w:sz w:val="23"/>
          <w:szCs w:val="23"/>
        </w:rPr>
        <w:t xml:space="preserve">– </w:t>
      </w:r>
      <w:r w:rsidR="00DC762A" w:rsidRPr="00352077">
        <w:rPr>
          <w:rFonts w:ascii="Book Antiqua" w:eastAsia="Book Antiqua" w:hAnsi="Book Antiqua" w:cs="Book Antiqua"/>
          <w:color w:val="000000"/>
          <w:sz w:val="23"/>
          <w:szCs w:val="23"/>
        </w:rPr>
        <w:t>are</w:t>
      </w:r>
      <w:r w:rsidR="00AC5C3D" w:rsidRPr="00352077">
        <w:rPr>
          <w:rFonts w:ascii="Book Antiqua" w:eastAsia="Book Antiqua" w:hAnsi="Book Antiqua" w:cs="Book Antiqua"/>
          <w:color w:val="000000"/>
          <w:sz w:val="23"/>
          <w:szCs w:val="23"/>
        </w:rPr>
        <w:t xml:space="preserve"> not </w:t>
      </w:r>
      <w:r w:rsidR="00036FEA" w:rsidRPr="00352077">
        <w:rPr>
          <w:rFonts w:ascii="Book Antiqua" w:eastAsia="Book Antiqua" w:hAnsi="Book Antiqua" w:cs="Book Antiqua"/>
          <w:color w:val="000000"/>
          <w:sz w:val="23"/>
          <w:szCs w:val="23"/>
        </w:rPr>
        <w:t xml:space="preserve">realistically </w:t>
      </w:r>
      <w:r w:rsidR="00AC5C3D" w:rsidRPr="00352077">
        <w:rPr>
          <w:rFonts w:ascii="Book Antiqua" w:eastAsia="Book Antiqua" w:hAnsi="Book Antiqua" w:cs="Book Antiqua"/>
          <w:color w:val="000000"/>
          <w:sz w:val="23"/>
          <w:szCs w:val="23"/>
        </w:rPr>
        <w:t xml:space="preserve">capable of </w:t>
      </w:r>
      <w:r w:rsidR="00036FEA" w:rsidRPr="00352077">
        <w:rPr>
          <w:rFonts w:ascii="Book Antiqua" w:eastAsia="Book Antiqua" w:hAnsi="Book Antiqua" w:cs="Book Antiqua"/>
          <w:color w:val="000000"/>
          <w:sz w:val="23"/>
          <w:szCs w:val="23"/>
        </w:rPr>
        <w:t xml:space="preserve">being </w:t>
      </w:r>
      <w:r w:rsidR="00DC762A" w:rsidRPr="00352077">
        <w:rPr>
          <w:rFonts w:ascii="Book Antiqua" w:eastAsia="Book Antiqua" w:hAnsi="Book Antiqua" w:cs="Book Antiqua"/>
          <w:color w:val="000000"/>
          <w:sz w:val="23"/>
          <w:szCs w:val="23"/>
        </w:rPr>
        <w:t>financial</w:t>
      </w:r>
      <w:r w:rsidR="00036FEA" w:rsidRPr="00352077">
        <w:rPr>
          <w:rFonts w:ascii="Book Antiqua" w:eastAsia="Book Antiqua" w:hAnsi="Book Antiqua" w:cs="Book Antiqua"/>
          <w:color w:val="000000"/>
          <w:sz w:val="23"/>
          <w:szCs w:val="23"/>
        </w:rPr>
        <w:t>ly</w:t>
      </w:r>
      <w:r w:rsidR="00DC762A" w:rsidRPr="00352077">
        <w:rPr>
          <w:rFonts w:ascii="Book Antiqua" w:eastAsia="Book Antiqua" w:hAnsi="Book Antiqua" w:cs="Book Antiqua"/>
          <w:color w:val="000000"/>
          <w:sz w:val="23"/>
          <w:szCs w:val="23"/>
        </w:rPr>
        <w:t xml:space="preserve"> </w:t>
      </w:r>
      <w:r w:rsidR="00AC5C3D" w:rsidRPr="00352077">
        <w:rPr>
          <w:rFonts w:ascii="Book Antiqua" w:eastAsia="Book Antiqua" w:hAnsi="Book Antiqua" w:cs="Book Antiqua"/>
          <w:color w:val="000000"/>
          <w:sz w:val="23"/>
          <w:szCs w:val="23"/>
        </w:rPr>
        <w:t>compensat</w:t>
      </w:r>
      <w:r w:rsidR="00036FEA" w:rsidRPr="00352077">
        <w:rPr>
          <w:rFonts w:ascii="Book Antiqua" w:eastAsia="Book Antiqua" w:hAnsi="Book Antiqua" w:cs="Book Antiqua"/>
          <w:color w:val="000000"/>
          <w:sz w:val="23"/>
          <w:szCs w:val="23"/>
        </w:rPr>
        <w:t>able;</w:t>
      </w:r>
      <w:r w:rsidR="00DC762A" w:rsidRPr="00352077">
        <w:rPr>
          <w:rFonts w:ascii="Book Antiqua" w:eastAsia="Book Antiqua" w:hAnsi="Book Antiqua" w:cs="Book Antiqua"/>
          <w:color w:val="000000"/>
          <w:sz w:val="23"/>
          <w:szCs w:val="23"/>
        </w:rPr>
        <w:t xml:space="preserve"> </w:t>
      </w:r>
      <w:r w:rsidR="006609CC" w:rsidRPr="00352077">
        <w:rPr>
          <w:rFonts w:ascii="Book Antiqua" w:eastAsia="Book Antiqua" w:hAnsi="Book Antiqua" w:cs="Book Antiqua"/>
          <w:color w:val="000000"/>
          <w:sz w:val="23"/>
          <w:szCs w:val="23"/>
        </w:rPr>
        <w:t xml:space="preserve">and, (2) </w:t>
      </w:r>
      <w:r w:rsidR="00AC5C3D" w:rsidRPr="00352077">
        <w:rPr>
          <w:rFonts w:ascii="Book Antiqua" w:eastAsia="Book Antiqua" w:hAnsi="Book Antiqua" w:cs="Book Antiqua"/>
          <w:color w:val="000000"/>
          <w:sz w:val="23"/>
          <w:szCs w:val="23"/>
        </w:rPr>
        <w:t xml:space="preserve">in any event, </w:t>
      </w:r>
      <w:r w:rsidR="006609CC" w:rsidRPr="00352077">
        <w:rPr>
          <w:rFonts w:ascii="Book Antiqua" w:hAnsi="Book Antiqua"/>
          <w:sz w:val="23"/>
          <w:szCs w:val="23"/>
        </w:rPr>
        <w:t>any financial loss could not be recovered from Persons Unknown:</w:t>
      </w:r>
      <w:r w:rsidR="008D5C16">
        <w:rPr>
          <w:rFonts w:ascii="Book Antiqua" w:hAnsi="Book Antiqua"/>
          <w:sz w:val="23"/>
          <w:szCs w:val="23"/>
        </w:rPr>
        <w:t xml:space="preserve"> </w:t>
      </w:r>
      <w:r w:rsidR="008D5C16">
        <w:rPr>
          <w:rFonts w:ascii="Book Antiqua" w:hAnsi="Book Antiqua"/>
          <w:sz w:val="23"/>
          <w:szCs w:val="23"/>
          <w:u w:val="single"/>
        </w:rPr>
        <w:t>Fordham Judgment</w:t>
      </w:r>
      <w:r w:rsidR="008D5C16">
        <w:rPr>
          <w:rFonts w:ascii="Book Antiqua" w:hAnsi="Book Antiqua"/>
          <w:sz w:val="23"/>
          <w:szCs w:val="23"/>
        </w:rPr>
        <w:t xml:space="preserve">, </w:t>
      </w:r>
      <w:r w:rsidR="009A5F3C" w:rsidRPr="00352077">
        <w:rPr>
          <w:rFonts w:ascii="Book Antiqua" w:hAnsi="Book Antiqua"/>
          <w:sz w:val="23"/>
          <w:szCs w:val="23"/>
        </w:rPr>
        <w:t>§</w:t>
      </w:r>
      <w:r w:rsidR="008D5C16">
        <w:rPr>
          <w:rFonts w:ascii="Book Antiqua" w:hAnsi="Book Antiqua"/>
          <w:sz w:val="23"/>
          <w:szCs w:val="23"/>
        </w:rPr>
        <w:t xml:space="preserve">36 </w:t>
      </w:r>
      <w:r w:rsidR="008D5C16">
        <w:rPr>
          <w:rFonts w:ascii="Book Antiqua" w:hAnsi="Book Antiqua"/>
          <w:b/>
          <w:bCs/>
          <w:sz w:val="23"/>
          <w:szCs w:val="23"/>
        </w:rPr>
        <w:t>[</w:t>
      </w:r>
      <w:r w:rsidR="009A5F3C">
        <w:rPr>
          <w:rFonts w:ascii="Book Antiqua" w:hAnsi="Book Antiqua"/>
          <w:b/>
          <w:bCs/>
          <w:sz w:val="23"/>
          <w:szCs w:val="23"/>
        </w:rPr>
        <w:t>SB/10/</w:t>
      </w:r>
      <w:r w:rsidR="00455750">
        <w:rPr>
          <w:rFonts w:ascii="Book Antiqua" w:hAnsi="Book Antiqua"/>
          <w:b/>
          <w:bCs/>
          <w:sz w:val="23"/>
          <w:szCs w:val="23"/>
        </w:rPr>
        <w:t>923</w:t>
      </w:r>
      <w:r w:rsidR="00933FF0">
        <w:rPr>
          <w:rFonts w:ascii="Book Antiqua" w:hAnsi="Book Antiqua"/>
          <w:b/>
          <w:bCs/>
          <w:sz w:val="23"/>
          <w:szCs w:val="23"/>
        </w:rPr>
        <w:t>(</w:t>
      </w:r>
      <w:r w:rsidR="00455750">
        <w:rPr>
          <w:rFonts w:ascii="Book Antiqua" w:hAnsi="Book Antiqua"/>
          <w:b/>
          <w:bCs/>
          <w:sz w:val="23"/>
          <w:szCs w:val="23"/>
        </w:rPr>
        <w:t>PDF285</w:t>
      </w:r>
      <w:r w:rsidR="00933FF0">
        <w:rPr>
          <w:rFonts w:ascii="Book Antiqua" w:hAnsi="Book Antiqua"/>
          <w:b/>
          <w:bCs/>
          <w:sz w:val="23"/>
          <w:szCs w:val="23"/>
        </w:rPr>
        <w:t>)</w:t>
      </w:r>
      <w:r w:rsidR="00455750">
        <w:rPr>
          <w:rFonts w:ascii="Book Antiqua" w:hAnsi="Book Antiqua"/>
          <w:b/>
          <w:bCs/>
          <w:sz w:val="23"/>
          <w:szCs w:val="23"/>
        </w:rPr>
        <w:t>]</w:t>
      </w:r>
      <w:r w:rsidR="008D5C16">
        <w:rPr>
          <w:rFonts w:ascii="Book Antiqua" w:hAnsi="Book Antiqua"/>
          <w:sz w:val="23"/>
          <w:szCs w:val="23"/>
        </w:rPr>
        <w:t>;</w:t>
      </w:r>
      <w:r w:rsidR="006609CC" w:rsidRPr="00352077">
        <w:rPr>
          <w:rFonts w:ascii="Book Antiqua" w:hAnsi="Book Antiqua"/>
          <w:sz w:val="23"/>
          <w:szCs w:val="23"/>
        </w:rPr>
        <w:t xml:space="preserve"> </w:t>
      </w:r>
      <w:r w:rsidR="00592C91" w:rsidRPr="00352077">
        <w:rPr>
          <w:rFonts w:ascii="Book Antiqua" w:hAnsi="Book Antiqua"/>
          <w:sz w:val="23"/>
          <w:szCs w:val="23"/>
          <w:u w:val="single"/>
        </w:rPr>
        <w:t>UoL</w:t>
      </w:r>
      <w:r w:rsidR="00592C91" w:rsidRPr="00352077">
        <w:rPr>
          <w:rFonts w:ascii="Book Antiqua" w:hAnsi="Book Antiqua"/>
          <w:sz w:val="23"/>
          <w:szCs w:val="23"/>
        </w:rPr>
        <w:t>, §38</w:t>
      </w:r>
      <w:r w:rsidR="00A5485B">
        <w:rPr>
          <w:rFonts w:ascii="Book Antiqua" w:hAnsi="Book Antiqua"/>
          <w:sz w:val="23"/>
          <w:szCs w:val="23"/>
        </w:rPr>
        <w:t xml:space="preserve"> </w:t>
      </w:r>
      <w:r w:rsidR="00A5485B">
        <w:rPr>
          <w:rFonts w:ascii="Book Antiqua" w:hAnsi="Book Antiqua"/>
          <w:b/>
          <w:bCs/>
          <w:sz w:val="23"/>
          <w:szCs w:val="23"/>
        </w:rPr>
        <w:t>[AB/14/4</w:t>
      </w:r>
      <w:r w:rsidR="00E53D11">
        <w:rPr>
          <w:rFonts w:ascii="Book Antiqua" w:hAnsi="Book Antiqua"/>
          <w:b/>
          <w:bCs/>
          <w:sz w:val="23"/>
          <w:szCs w:val="23"/>
        </w:rPr>
        <w:t>14</w:t>
      </w:r>
      <w:r w:rsidR="00A5485B">
        <w:rPr>
          <w:rFonts w:ascii="Book Antiqua" w:hAnsi="Book Antiqua"/>
          <w:b/>
          <w:bCs/>
          <w:sz w:val="23"/>
          <w:szCs w:val="23"/>
        </w:rPr>
        <w:t>]</w:t>
      </w:r>
      <w:r w:rsidR="00592C91" w:rsidRPr="00352077">
        <w:rPr>
          <w:rFonts w:ascii="Book Antiqua" w:hAnsi="Book Antiqua"/>
          <w:sz w:val="23"/>
          <w:szCs w:val="23"/>
        </w:rPr>
        <w:t xml:space="preserve">; </w:t>
      </w:r>
      <w:r w:rsidR="006609CC" w:rsidRPr="00352077">
        <w:rPr>
          <w:rFonts w:ascii="Book Antiqua" w:hAnsi="Book Antiqua"/>
          <w:sz w:val="23"/>
          <w:szCs w:val="23"/>
          <w:u w:val="single"/>
        </w:rPr>
        <w:t>Valero</w:t>
      </w:r>
      <w:r w:rsidR="006609CC" w:rsidRPr="00352077">
        <w:rPr>
          <w:rFonts w:ascii="Book Antiqua" w:hAnsi="Book Antiqua"/>
          <w:sz w:val="23"/>
          <w:szCs w:val="23"/>
        </w:rPr>
        <w:t>, §70</w:t>
      </w:r>
      <w:r w:rsidR="00E53D11">
        <w:rPr>
          <w:rFonts w:ascii="Book Antiqua" w:hAnsi="Book Antiqua"/>
          <w:sz w:val="23"/>
          <w:szCs w:val="23"/>
        </w:rPr>
        <w:t xml:space="preserve"> </w:t>
      </w:r>
      <w:r w:rsidR="00E53D11">
        <w:rPr>
          <w:rFonts w:ascii="Book Antiqua" w:hAnsi="Book Antiqua"/>
          <w:b/>
          <w:bCs/>
          <w:sz w:val="23"/>
          <w:szCs w:val="23"/>
        </w:rPr>
        <w:t>[AB/7/242]</w:t>
      </w:r>
      <w:r w:rsidR="006609CC" w:rsidRPr="00352077">
        <w:rPr>
          <w:rFonts w:ascii="Book Antiqua" w:hAnsi="Book Antiqua"/>
          <w:sz w:val="23"/>
          <w:szCs w:val="23"/>
        </w:rPr>
        <w:t>.</w:t>
      </w:r>
      <w:r w:rsidR="00EE1805" w:rsidRPr="00352077">
        <w:rPr>
          <w:rFonts w:ascii="Book Antiqua" w:hAnsi="Book Antiqua"/>
          <w:sz w:val="23"/>
          <w:szCs w:val="23"/>
        </w:rPr>
        <w:t xml:space="preserve"> For </w:t>
      </w:r>
      <w:r w:rsidR="00C40A1C" w:rsidRPr="00352077">
        <w:rPr>
          <w:rFonts w:ascii="Book Antiqua" w:hAnsi="Book Antiqua"/>
          <w:sz w:val="23"/>
          <w:szCs w:val="23"/>
        </w:rPr>
        <w:t>the same reasons, the resulting harm would be “</w:t>
      </w:r>
      <w:r w:rsidR="00C40A1C" w:rsidRPr="00352077">
        <w:rPr>
          <w:rFonts w:ascii="Book Antiqua" w:hAnsi="Book Antiqua"/>
          <w:i/>
          <w:iCs/>
          <w:sz w:val="23"/>
          <w:szCs w:val="23"/>
        </w:rPr>
        <w:t>grave and irreparable”</w:t>
      </w:r>
      <w:r w:rsidR="00C40A1C" w:rsidRPr="00352077">
        <w:rPr>
          <w:rFonts w:ascii="Book Antiqua" w:hAnsi="Book Antiqua"/>
          <w:sz w:val="23"/>
          <w:szCs w:val="23"/>
        </w:rPr>
        <w:t xml:space="preserve">: </w:t>
      </w:r>
      <w:r w:rsidR="00E86D98" w:rsidRPr="00352077">
        <w:rPr>
          <w:rFonts w:ascii="Book Antiqua" w:hAnsi="Book Antiqua"/>
          <w:sz w:val="23"/>
          <w:szCs w:val="23"/>
          <w:u w:val="single"/>
          <w:lang w:val="en-GB"/>
        </w:rPr>
        <w:t>Esso Petroleum v Persons Unknown</w:t>
      </w:r>
      <w:r w:rsidR="00E86D98" w:rsidRPr="00352077">
        <w:rPr>
          <w:rFonts w:ascii="Book Antiqua" w:hAnsi="Book Antiqua"/>
          <w:i/>
          <w:iCs/>
          <w:sz w:val="23"/>
          <w:szCs w:val="23"/>
          <w:lang w:val="en-GB"/>
        </w:rPr>
        <w:t xml:space="preserve"> </w:t>
      </w:r>
      <w:r w:rsidR="00E86D98" w:rsidRPr="00352077">
        <w:rPr>
          <w:rFonts w:ascii="Book Antiqua" w:hAnsi="Book Antiqua"/>
          <w:sz w:val="23"/>
          <w:szCs w:val="23"/>
          <w:lang w:val="en-GB"/>
        </w:rPr>
        <w:t>[2023] EWHC 1837 (KB), at §§63-64</w:t>
      </w:r>
      <w:r w:rsidR="00E53D11">
        <w:rPr>
          <w:rFonts w:ascii="Book Antiqua" w:hAnsi="Book Antiqua"/>
          <w:sz w:val="23"/>
          <w:szCs w:val="23"/>
          <w:lang w:val="en-GB"/>
        </w:rPr>
        <w:t xml:space="preserve"> </w:t>
      </w:r>
      <w:r w:rsidR="00E53D11">
        <w:rPr>
          <w:rFonts w:ascii="Book Antiqua" w:hAnsi="Book Antiqua"/>
          <w:b/>
          <w:bCs/>
          <w:sz w:val="23"/>
          <w:szCs w:val="23"/>
        </w:rPr>
        <w:t>[AB/5/</w:t>
      </w:r>
      <w:r w:rsidR="00E973BA">
        <w:rPr>
          <w:rFonts w:ascii="Book Antiqua" w:hAnsi="Book Antiqua"/>
          <w:b/>
          <w:bCs/>
          <w:sz w:val="23"/>
          <w:szCs w:val="23"/>
        </w:rPr>
        <w:t>123</w:t>
      </w:r>
      <w:r w:rsidR="00E53D11">
        <w:rPr>
          <w:rFonts w:ascii="Book Antiqua" w:hAnsi="Book Antiqua"/>
          <w:b/>
          <w:bCs/>
          <w:sz w:val="23"/>
          <w:szCs w:val="23"/>
        </w:rPr>
        <w:t>]</w:t>
      </w:r>
      <w:r w:rsidR="00E86D98" w:rsidRPr="00352077">
        <w:rPr>
          <w:rFonts w:ascii="Book Antiqua" w:hAnsi="Book Antiqua"/>
          <w:sz w:val="23"/>
          <w:szCs w:val="23"/>
          <w:lang w:val="en-GB"/>
        </w:rPr>
        <w:t>.</w:t>
      </w:r>
    </w:p>
    <w:p w14:paraId="7540F1D6" w14:textId="3DEE8892" w:rsidR="00DE2B95" w:rsidRPr="00974A90" w:rsidRDefault="00352077" w:rsidP="00DE2B95">
      <w:pPr>
        <w:pStyle w:val="ListParagraph"/>
        <w:numPr>
          <w:ilvl w:val="0"/>
          <w:numId w:val="3"/>
        </w:numPr>
        <w:tabs>
          <w:tab w:val="left" w:pos="1701"/>
        </w:tabs>
        <w:spacing w:line="360" w:lineRule="auto"/>
        <w:ind w:left="567" w:hanging="567"/>
        <w:contextualSpacing w:val="0"/>
        <w:jc w:val="both"/>
        <w:rPr>
          <w:rFonts w:ascii="Book Antiqua" w:hAnsi="Book Antiqua"/>
          <w:sz w:val="23"/>
          <w:szCs w:val="23"/>
        </w:rPr>
      </w:pPr>
      <w:r>
        <w:rPr>
          <w:rFonts w:ascii="Book Antiqua" w:eastAsia="Book Antiqua" w:hAnsi="Book Antiqua" w:cs="Book Antiqua"/>
          <w:b/>
          <w:bCs/>
          <w:color w:val="000000"/>
          <w:sz w:val="23"/>
          <w:szCs w:val="23"/>
        </w:rPr>
        <w:t xml:space="preserve">Eighthly, </w:t>
      </w:r>
      <w:r w:rsidR="006A7CA7">
        <w:rPr>
          <w:rFonts w:ascii="Book Antiqua" w:eastAsia="Book Antiqua" w:hAnsi="Book Antiqua" w:cs="Book Antiqua"/>
          <w:color w:val="000000"/>
          <w:sz w:val="23"/>
          <w:szCs w:val="23"/>
        </w:rPr>
        <w:t>in terms of identifying Persons Unknown,</w:t>
      </w:r>
      <w:r w:rsidR="00DE2B95">
        <w:rPr>
          <w:rFonts w:ascii="Book Antiqua" w:eastAsia="Book Antiqua" w:hAnsi="Book Antiqua" w:cs="Book Antiqua"/>
          <w:color w:val="000000"/>
          <w:sz w:val="23"/>
          <w:szCs w:val="23"/>
        </w:rPr>
        <w:t xml:space="preserve"> this has not been</w:t>
      </w:r>
      <w:r w:rsidR="00DE2B95" w:rsidRPr="00352077">
        <w:rPr>
          <w:rFonts w:ascii="Book Antiqua" w:eastAsia="Book Antiqua" w:hAnsi="Book Antiqua" w:cs="Book Antiqua"/>
          <w:color w:val="000000"/>
          <w:sz w:val="23"/>
          <w:szCs w:val="23"/>
        </w:rPr>
        <w:t xml:space="preserve"> possible as they have not yet carried out the threatened trespass, it is not known who may attempt to do so in the future and the University would not know their names if they did (as they would</w:t>
      </w:r>
      <w:r w:rsidR="00DE2B95">
        <w:rPr>
          <w:rFonts w:ascii="Book Antiqua" w:eastAsia="Book Antiqua" w:hAnsi="Book Antiqua" w:cs="Book Antiqua"/>
          <w:color w:val="000000"/>
          <w:sz w:val="23"/>
          <w:szCs w:val="23"/>
        </w:rPr>
        <w:t xml:space="preserve"> likely</w:t>
      </w:r>
      <w:r w:rsidR="00DE2B95" w:rsidRPr="00352077">
        <w:rPr>
          <w:rFonts w:ascii="Book Antiqua" w:eastAsia="Book Antiqua" w:hAnsi="Book Antiqua" w:cs="Book Antiqua"/>
          <w:color w:val="000000"/>
          <w:sz w:val="23"/>
          <w:szCs w:val="23"/>
        </w:rPr>
        <w:t xml:space="preserve"> cover their faces).</w:t>
      </w:r>
    </w:p>
    <w:p w14:paraId="1B2E3FC9" w14:textId="77777777" w:rsidR="00A94BC6" w:rsidRPr="00A94BC6" w:rsidRDefault="006C6502" w:rsidP="00624586">
      <w:pPr>
        <w:pStyle w:val="ListParagraph"/>
        <w:numPr>
          <w:ilvl w:val="0"/>
          <w:numId w:val="3"/>
        </w:numPr>
        <w:tabs>
          <w:tab w:val="left" w:pos="1701"/>
        </w:tabs>
        <w:spacing w:line="360" w:lineRule="auto"/>
        <w:ind w:left="567" w:hanging="567"/>
        <w:contextualSpacing w:val="0"/>
        <w:jc w:val="both"/>
        <w:rPr>
          <w:rFonts w:ascii="Book Antiqua" w:hAnsi="Book Antiqua"/>
          <w:sz w:val="23"/>
          <w:szCs w:val="23"/>
        </w:rPr>
      </w:pPr>
      <w:r>
        <w:rPr>
          <w:rFonts w:ascii="Book Antiqua" w:eastAsia="Book Antiqua" w:hAnsi="Book Antiqua" w:cs="Book Antiqua"/>
          <w:color w:val="000000"/>
          <w:sz w:val="23"/>
          <w:szCs w:val="23"/>
        </w:rPr>
        <w:t>In terms of describing Persons Unknown,</w:t>
      </w:r>
      <w:r w:rsidR="006A7CA7">
        <w:rPr>
          <w:rFonts w:ascii="Book Antiqua" w:eastAsia="Book Antiqua" w:hAnsi="Book Antiqua" w:cs="Book Antiqua"/>
          <w:color w:val="000000"/>
          <w:sz w:val="23"/>
          <w:szCs w:val="23"/>
        </w:rPr>
        <w:t xml:space="preserve"> </w:t>
      </w:r>
      <w:r w:rsidR="0039795E">
        <w:rPr>
          <w:rFonts w:ascii="Book Antiqua" w:eastAsia="Book Antiqua" w:hAnsi="Book Antiqua" w:cs="Book Antiqua"/>
          <w:color w:val="000000"/>
          <w:sz w:val="23"/>
          <w:szCs w:val="23"/>
        </w:rPr>
        <w:t xml:space="preserve">the University </w:t>
      </w:r>
      <w:r w:rsidR="00D000EB">
        <w:rPr>
          <w:rFonts w:ascii="Book Antiqua" w:eastAsia="Book Antiqua" w:hAnsi="Book Antiqua" w:cs="Book Antiqua"/>
          <w:color w:val="000000"/>
          <w:sz w:val="23"/>
          <w:szCs w:val="23"/>
        </w:rPr>
        <w:t xml:space="preserve">submits that it would be appropriate </w:t>
      </w:r>
      <w:r w:rsidR="006A7CA7">
        <w:rPr>
          <w:rFonts w:ascii="Book Antiqua" w:eastAsia="Book Antiqua" w:hAnsi="Book Antiqua" w:cs="Book Antiqua"/>
          <w:color w:val="000000"/>
          <w:sz w:val="23"/>
          <w:szCs w:val="23"/>
        </w:rPr>
        <w:t>to adopt the approach</w:t>
      </w:r>
      <w:r w:rsidR="00A9212C">
        <w:rPr>
          <w:rFonts w:ascii="Book Antiqua" w:eastAsia="Book Antiqua" w:hAnsi="Book Antiqua" w:cs="Book Antiqua"/>
          <w:color w:val="000000"/>
          <w:sz w:val="23"/>
          <w:szCs w:val="23"/>
        </w:rPr>
        <w:t xml:space="preserve"> taken by Nicklin J in </w:t>
      </w:r>
      <w:r w:rsidR="00A9212C">
        <w:rPr>
          <w:rFonts w:ascii="Book Antiqua" w:eastAsia="Book Antiqua" w:hAnsi="Book Antiqua" w:cs="Book Antiqua"/>
          <w:color w:val="000000"/>
          <w:sz w:val="23"/>
          <w:szCs w:val="23"/>
          <w:u w:val="single"/>
        </w:rPr>
        <w:t>MBR Acres</w:t>
      </w:r>
      <w:r w:rsidR="00A9212C">
        <w:rPr>
          <w:rFonts w:ascii="Book Antiqua" w:eastAsia="Book Antiqua" w:hAnsi="Book Antiqua" w:cs="Book Antiqua"/>
          <w:color w:val="000000"/>
          <w:sz w:val="23"/>
          <w:szCs w:val="23"/>
        </w:rPr>
        <w:t xml:space="preserve"> and by Fordham J at the first hearing of this application</w:t>
      </w:r>
      <w:r w:rsidR="00D000EB">
        <w:rPr>
          <w:rFonts w:ascii="Book Antiqua" w:eastAsia="Book Antiqua" w:hAnsi="Book Antiqua" w:cs="Book Antiqua"/>
          <w:color w:val="000000"/>
          <w:sz w:val="23"/>
          <w:szCs w:val="23"/>
        </w:rPr>
        <w:t xml:space="preserve"> in circumstances where</w:t>
      </w:r>
      <w:r w:rsidR="00D75332">
        <w:rPr>
          <w:rFonts w:ascii="Book Antiqua" w:eastAsia="Book Antiqua" w:hAnsi="Book Antiqua" w:cs="Book Antiqua"/>
          <w:color w:val="000000"/>
          <w:sz w:val="23"/>
          <w:szCs w:val="23"/>
        </w:rPr>
        <w:t xml:space="preserve"> the injunction is sought against newcomers who might at some future commit the acts of trespass and nuisance and </w:t>
      </w:r>
      <w:r w:rsidR="008C08F2">
        <w:rPr>
          <w:rFonts w:ascii="Book Antiqua" w:eastAsia="Book Antiqua" w:hAnsi="Book Antiqua" w:cs="Book Antiqua"/>
          <w:color w:val="000000"/>
          <w:sz w:val="23"/>
          <w:szCs w:val="23"/>
        </w:rPr>
        <w:t>against whom the order is made, necessarily, without notice</w:t>
      </w:r>
      <w:r w:rsidR="00A9212C">
        <w:rPr>
          <w:rFonts w:ascii="Book Antiqua" w:eastAsia="Book Antiqua" w:hAnsi="Book Antiqua" w:cs="Book Antiqua"/>
          <w:color w:val="000000"/>
          <w:sz w:val="23"/>
          <w:szCs w:val="23"/>
        </w:rPr>
        <w:t>.</w:t>
      </w:r>
      <w:r w:rsidR="008C08F2">
        <w:rPr>
          <w:rFonts w:ascii="Book Antiqua" w:eastAsia="Book Antiqua" w:hAnsi="Book Antiqua" w:cs="Book Antiqua"/>
          <w:color w:val="000000"/>
          <w:sz w:val="23"/>
          <w:szCs w:val="23"/>
        </w:rPr>
        <w:t xml:space="preserve"> </w:t>
      </w:r>
    </w:p>
    <w:p w14:paraId="254CDF52" w14:textId="7A1B2C08" w:rsidR="005D7F62" w:rsidRDefault="00A94BC6" w:rsidP="00A94BC6">
      <w:pPr>
        <w:pStyle w:val="ListParagraph"/>
        <w:numPr>
          <w:ilvl w:val="0"/>
          <w:numId w:val="3"/>
        </w:numPr>
        <w:spacing w:line="360" w:lineRule="auto"/>
        <w:ind w:left="567" w:hanging="567"/>
        <w:contextualSpacing w:val="0"/>
        <w:jc w:val="both"/>
        <w:rPr>
          <w:rFonts w:ascii="Book Antiqua" w:hAnsi="Book Antiqua"/>
          <w:sz w:val="23"/>
          <w:szCs w:val="23"/>
        </w:rPr>
      </w:pPr>
      <w:r>
        <w:rPr>
          <w:rFonts w:ascii="Book Antiqua" w:hAnsi="Book Antiqua"/>
          <w:sz w:val="23"/>
          <w:szCs w:val="23"/>
        </w:rPr>
        <w:t xml:space="preserve">The Supreme Court in </w:t>
      </w:r>
      <w:r>
        <w:rPr>
          <w:rFonts w:ascii="Book Antiqua" w:hAnsi="Book Antiqua"/>
          <w:sz w:val="23"/>
          <w:szCs w:val="23"/>
          <w:u w:val="single"/>
        </w:rPr>
        <w:t>Wolverhampton</w:t>
      </w:r>
      <w:r w:rsidR="00670701">
        <w:rPr>
          <w:rFonts w:ascii="Book Antiqua" w:hAnsi="Book Antiqua"/>
          <w:sz w:val="23"/>
          <w:szCs w:val="23"/>
          <w:u w:val="single"/>
        </w:rPr>
        <w:t xml:space="preserve"> CC</w:t>
      </w:r>
      <w:r>
        <w:rPr>
          <w:rFonts w:ascii="Book Antiqua" w:hAnsi="Book Antiqua"/>
          <w:sz w:val="23"/>
          <w:szCs w:val="23"/>
          <w:u w:val="single"/>
        </w:rPr>
        <w:t xml:space="preserve"> </w:t>
      </w:r>
      <w:r>
        <w:rPr>
          <w:rFonts w:ascii="Book Antiqua" w:hAnsi="Book Antiqua"/>
          <w:sz w:val="23"/>
          <w:szCs w:val="23"/>
        </w:rPr>
        <w:t>held at §221 that “</w:t>
      </w:r>
      <w:r w:rsidRPr="00834808">
        <w:rPr>
          <w:rFonts w:ascii="Book Antiqua" w:hAnsi="Book Antiqua"/>
          <w:i/>
          <w:iCs/>
          <w:sz w:val="23"/>
          <w:szCs w:val="23"/>
        </w:rPr>
        <w:t>Even where the persons sought to be subjected to the injunction are newcomers, the possibility of identifying them as a class by reference to conduct prior to what would be a breach (and, if necessary, by reference to intention) should be explored and adopted if possible</w:t>
      </w:r>
      <w:r w:rsidRPr="00834808">
        <w:rPr>
          <w:rFonts w:ascii="Book Antiqua" w:hAnsi="Book Antiqua"/>
          <w:sz w:val="23"/>
          <w:szCs w:val="23"/>
        </w:rPr>
        <w:t>.”</w:t>
      </w:r>
      <w:r>
        <w:rPr>
          <w:rFonts w:ascii="Book Antiqua" w:hAnsi="Book Antiqua"/>
          <w:sz w:val="23"/>
          <w:szCs w:val="23"/>
        </w:rPr>
        <w:t xml:space="preserve"> </w:t>
      </w:r>
    </w:p>
    <w:p w14:paraId="5851B006" w14:textId="1D06AB0B" w:rsidR="00A94BC6" w:rsidRDefault="00A94BC6" w:rsidP="00A94BC6">
      <w:pPr>
        <w:pStyle w:val="ListParagraph"/>
        <w:numPr>
          <w:ilvl w:val="0"/>
          <w:numId w:val="3"/>
        </w:numPr>
        <w:spacing w:line="360" w:lineRule="auto"/>
        <w:ind w:left="567" w:hanging="567"/>
        <w:contextualSpacing w:val="0"/>
        <w:jc w:val="both"/>
        <w:rPr>
          <w:rFonts w:ascii="Book Antiqua" w:hAnsi="Book Antiqua"/>
          <w:sz w:val="23"/>
          <w:szCs w:val="23"/>
        </w:rPr>
      </w:pPr>
      <w:r>
        <w:rPr>
          <w:rFonts w:ascii="Book Antiqua" w:hAnsi="Book Antiqua"/>
          <w:sz w:val="23"/>
          <w:szCs w:val="23"/>
        </w:rPr>
        <w:t xml:space="preserve">In </w:t>
      </w:r>
      <w:r>
        <w:rPr>
          <w:rFonts w:ascii="Book Antiqua" w:hAnsi="Book Antiqua"/>
          <w:sz w:val="23"/>
          <w:szCs w:val="23"/>
          <w:u w:val="single"/>
        </w:rPr>
        <w:t xml:space="preserve">MBR Acres, </w:t>
      </w:r>
      <w:r>
        <w:rPr>
          <w:rFonts w:ascii="Book Antiqua" w:hAnsi="Book Antiqua"/>
          <w:sz w:val="23"/>
          <w:szCs w:val="23"/>
        </w:rPr>
        <w:t>Nicklin J at §</w:t>
      </w:r>
      <w:r w:rsidR="001641BA">
        <w:rPr>
          <w:rFonts w:ascii="Book Antiqua" w:hAnsi="Book Antiqua"/>
          <w:sz w:val="23"/>
          <w:szCs w:val="23"/>
        </w:rPr>
        <w:t>§</w:t>
      </w:r>
      <w:r>
        <w:rPr>
          <w:rFonts w:ascii="Book Antiqua" w:hAnsi="Book Antiqua"/>
          <w:sz w:val="23"/>
          <w:szCs w:val="23"/>
        </w:rPr>
        <w:t xml:space="preserve">358 and 359 said this: </w:t>
      </w:r>
    </w:p>
    <w:p w14:paraId="50DAC440" w14:textId="619E4773" w:rsidR="00A94BC6" w:rsidRPr="00454041" w:rsidRDefault="00A94BC6" w:rsidP="00A94BC6">
      <w:pPr>
        <w:pStyle w:val="ListParagraph"/>
        <w:spacing w:line="360" w:lineRule="auto"/>
        <w:ind w:left="780"/>
        <w:contextualSpacing w:val="0"/>
        <w:jc w:val="both"/>
        <w:rPr>
          <w:rFonts w:ascii="Book Antiqua" w:hAnsi="Book Antiqua"/>
          <w:i/>
          <w:iCs/>
          <w:sz w:val="23"/>
          <w:szCs w:val="23"/>
        </w:rPr>
      </w:pPr>
      <w:r>
        <w:rPr>
          <w:rFonts w:ascii="Book Antiqua" w:hAnsi="Book Antiqua"/>
          <w:sz w:val="23"/>
          <w:szCs w:val="23"/>
        </w:rPr>
        <w:t>“</w:t>
      </w:r>
      <w:r w:rsidRPr="0030658F">
        <w:rPr>
          <w:rFonts w:ascii="Book Antiqua" w:hAnsi="Book Antiqua"/>
          <w:i/>
          <w:iCs/>
          <w:sz w:val="23"/>
          <w:szCs w:val="23"/>
        </w:rPr>
        <w:t xml:space="preserve">358 </w:t>
      </w:r>
      <w:r w:rsidR="00611DEB" w:rsidRPr="00611DEB">
        <w:rPr>
          <w:rFonts w:ascii="Book Antiqua" w:hAnsi="Book Antiqua"/>
          <w:i/>
          <w:iCs/>
          <w:sz w:val="23"/>
          <w:szCs w:val="23"/>
        </w:rPr>
        <w:t>Of course, every case will have to be decided on its facts. In a case of unlawful encampment on land, it may very well be possible to identify, if not to name, (a) those currently on the land; (b) those immediately threatening to move onto the land; and (c) newcomers who might at some future point move onto the land.</w:t>
      </w:r>
      <w:r>
        <w:rPr>
          <w:rFonts w:ascii="Book Antiqua" w:hAnsi="Book Antiqua"/>
          <w:sz w:val="23"/>
          <w:szCs w:val="23"/>
        </w:rPr>
        <w:t xml:space="preserve"> </w:t>
      </w:r>
      <w:r w:rsidR="00454041" w:rsidRPr="00454041">
        <w:rPr>
          <w:rFonts w:ascii="Book Antiqua" w:hAnsi="Book Antiqua"/>
          <w:i/>
          <w:iCs/>
          <w:sz w:val="23"/>
          <w:szCs w:val="23"/>
        </w:rPr>
        <w:t xml:space="preserve">I read the Supreme Court’s guidance as a reminder that the fact that the injunction sought includes a contra mundum ‘newcomer’ injunction against (c), does not relieve the local authority for taking such steps as are available to identify, and serve the Claim Form upon, those in categories (a) and (b) (if necessary, by an alternative service order)”. </w:t>
      </w:r>
    </w:p>
    <w:p w14:paraId="73A79E91" w14:textId="78978ED5" w:rsidR="00A94BC6" w:rsidRPr="00C9760D" w:rsidRDefault="00A94BC6" w:rsidP="00A94BC6">
      <w:pPr>
        <w:pStyle w:val="ListParagraph"/>
        <w:spacing w:line="360" w:lineRule="auto"/>
        <w:jc w:val="both"/>
        <w:rPr>
          <w:rFonts w:ascii="Book Antiqua" w:hAnsi="Book Antiqua"/>
          <w:i/>
          <w:iCs/>
          <w:sz w:val="23"/>
          <w:szCs w:val="23"/>
        </w:rPr>
      </w:pPr>
      <w:r w:rsidRPr="00C9760D">
        <w:rPr>
          <w:rFonts w:ascii="Book Antiqua" w:hAnsi="Book Antiqua"/>
          <w:i/>
          <w:iCs/>
          <w:sz w:val="23"/>
          <w:szCs w:val="23"/>
        </w:rPr>
        <w:t>359. But there can be no question of service of a Claim Form on those in category (c)</w:t>
      </w:r>
      <w:r>
        <w:rPr>
          <w:rFonts w:ascii="Book Antiqua" w:hAnsi="Book Antiqua"/>
          <w:i/>
          <w:iCs/>
          <w:sz w:val="23"/>
          <w:szCs w:val="23"/>
        </w:rPr>
        <w:t xml:space="preserve">. </w:t>
      </w:r>
      <w:r w:rsidRPr="00C155C8">
        <w:rPr>
          <w:rFonts w:ascii="Book Antiqua" w:hAnsi="Book Antiqua"/>
          <w:i/>
          <w:iCs/>
          <w:sz w:val="23"/>
          <w:szCs w:val="23"/>
        </w:rPr>
        <w:t>These people cannot be identified. They cannot be served, not even under the terms of an alternative service order. As against them, the contra mundum ‘newcomer’ injunction is made, necessarily, without notice. For persons in category (c), the Supreme Court regarded their interests adequately safeguarded by their ability to apply to vary or discharge the order.</w:t>
      </w:r>
      <w:r w:rsidRPr="00C9760D">
        <w:rPr>
          <w:rFonts w:ascii="Book Antiqua" w:hAnsi="Book Antiqua"/>
          <w:i/>
          <w:iCs/>
          <w:sz w:val="23"/>
          <w:szCs w:val="23"/>
        </w:rPr>
        <w:t>”</w:t>
      </w:r>
    </w:p>
    <w:p w14:paraId="007B2048" w14:textId="77777777" w:rsidR="00A94BC6" w:rsidRDefault="00A94BC6" w:rsidP="00A94BC6">
      <w:pPr>
        <w:pStyle w:val="ListParagraph"/>
        <w:spacing w:line="360" w:lineRule="auto"/>
        <w:jc w:val="both"/>
        <w:rPr>
          <w:rFonts w:ascii="Book Antiqua" w:hAnsi="Book Antiqua"/>
          <w:sz w:val="23"/>
          <w:szCs w:val="23"/>
        </w:rPr>
      </w:pPr>
    </w:p>
    <w:p w14:paraId="7EF48887" w14:textId="1B89D3F8" w:rsidR="0085348D" w:rsidRPr="0085348D" w:rsidRDefault="00EB1120" w:rsidP="00A94BC6">
      <w:pPr>
        <w:pStyle w:val="ListParagraph"/>
        <w:numPr>
          <w:ilvl w:val="0"/>
          <w:numId w:val="3"/>
        </w:numPr>
        <w:tabs>
          <w:tab w:val="left" w:pos="1701"/>
        </w:tabs>
        <w:spacing w:line="360" w:lineRule="auto"/>
        <w:ind w:left="567" w:hanging="567"/>
        <w:contextualSpacing w:val="0"/>
        <w:jc w:val="both"/>
        <w:rPr>
          <w:rFonts w:ascii="Book Antiqua" w:hAnsi="Book Antiqua"/>
          <w:sz w:val="23"/>
          <w:szCs w:val="23"/>
        </w:rPr>
      </w:pPr>
      <w:r>
        <w:rPr>
          <w:rFonts w:ascii="Book Antiqua" w:eastAsia="Book Antiqua" w:hAnsi="Book Antiqua" w:cs="Book Antiqua"/>
          <w:color w:val="000000"/>
          <w:sz w:val="23"/>
          <w:szCs w:val="23"/>
        </w:rPr>
        <w:t>A</w:t>
      </w:r>
      <w:r w:rsidR="001641BA">
        <w:rPr>
          <w:rFonts w:ascii="Book Antiqua" w:eastAsia="Book Antiqua" w:hAnsi="Book Antiqua" w:cs="Book Antiqua"/>
          <w:color w:val="000000"/>
          <w:sz w:val="23"/>
          <w:szCs w:val="23"/>
        </w:rPr>
        <w:t xml:space="preserve">t </w:t>
      </w:r>
      <w:r w:rsidR="001641BA">
        <w:rPr>
          <w:rFonts w:ascii="Book Antiqua" w:hAnsi="Book Antiqua"/>
          <w:sz w:val="23"/>
          <w:szCs w:val="23"/>
        </w:rPr>
        <w:t>§3</w:t>
      </w:r>
      <w:r>
        <w:rPr>
          <w:rFonts w:ascii="Book Antiqua" w:hAnsi="Book Antiqua"/>
          <w:sz w:val="23"/>
          <w:szCs w:val="23"/>
        </w:rPr>
        <w:t xml:space="preserve">60, </w:t>
      </w:r>
      <w:r w:rsidR="008C08F2">
        <w:rPr>
          <w:rFonts w:ascii="Book Antiqua" w:eastAsia="Book Antiqua" w:hAnsi="Book Antiqua" w:cs="Book Antiqua"/>
          <w:color w:val="000000"/>
          <w:sz w:val="23"/>
          <w:szCs w:val="23"/>
        </w:rPr>
        <w:t xml:space="preserve">Nicklin J </w:t>
      </w:r>
      <w:r>
        <w:rPr>
          <w:rFonts w:ascii="Book Antiqua" w:eastAsia="Book Antiqua" w:hAnsi="Book Antiqua" w:cs="Book Antiqua"/>
          <w:color w:val="000000"/>
          <w:sz w:val="23"/>
          <w:szCs w:val="23"/>
        </w:rPr>
        <w:t xml:space="preserve">held that following </w:t>
      </w:r>
      <w:r>
        <w:rPr>
          <w:rFonts w:ascii="Book Antiqua" w:eastAsia="Book Antiqua" w:hAnsi="Book Antiqua" w:cs="Book Antiqua"/>
          <w:color w:val="000000"/>
          <w:sz w:val="23"/>
          <w:szCs w:val="23"/>
          <w:u w:val="single"/>
        </w:rPr>
        <w:t>Wolverhampton</w:t>
      </w:r>
      <w:r w:rsidR="009A1E8A">
        <w:rPr>
          <w:rFonts w:ascii="Book Antiqua" w:eastAsia="Book Antiqua" w:hAnsi="Book Antiqua" w:cs="Book Antiqua"/>
          <w:color w:val="000000"/>
          <w:sz w:val="23"/>
          <w:szCs w:val="23"/>
          <w:u w:val="single"/>
        </w:rPr>
        <w:t xml:space="preserve"> CC</w:t>
      </w:r>
      <w:r>
        <w:rPr>
          <w:rFonts w:ascii="Book Antiqua" w:eastAsia="Book Antiqua" w:hAnsi="Book Antiqua" w:cs="Book Antiqua"/>
          <w:color w:val="000000"/>
          <w:sz w:val="23"/>
          <w:szCs w:val="23"/>
          <w:u w:val="single"/>
        </w:rPr>
        <w:t xml:space="preserve"> </w:t>
      </w:r>
      <w:r w:rsidR="006132A8">
        <w:rPr>
          <w:rFonts w:ascii="Book Antiqua" w:eastAsia="Book Antiqua" w:hAnsi="Book Antiqua" w:cs="Book Antiqua"/>
          <w:color w:val="000000"/>
          <w:sz w:val="23"/>
          <w:szCs w:val="23"/>
        </w:rPr>
        <w:t>it is “</w:t>
      </w:r>
      <w:r w:rsidR="006132A8" w:rsidRPr="00E55C92">
        <w:rPr>
          <w:rFonts w:ascii="Book Antiqua" w:eastAsia="Book Antiqua" w:hAnsi="Book Antiqua" w:cs="Book Antiqua"/>
          <w:i/>
          <w:iCs/>
          <w:color w:val="000000"/>
          <w:sz w:val="23"/>
          <w:szCs w:val="23"/>
        </w:rPr>
        <w:t>no longer necessary, nor appropriate</w:t>
      </w:r>
      <w:r w:rsidR="00DF48CA">
        <w:rPr>
          <w:rFonts w:ascii="Book Antiqua" w:eastAsia="Book Antiqua" w:hAnsi="Book Antiqua" w:cs="Book Antiqua"/>
          <w:color w:val="000000"/>
          <w:sz w:val="23"/>
          <w:szCs w:val="23"/>
        </w:rPr>
        <w:t>”</w:t>
      </w:r>
      <w:r w:rsidR="006132A8">
        <w:rPr>
          <w:rFonts w:ascii="Book Antiqua" w:eastAsia="Book Antiqua" w:hAnsi="Book Antiqua" w:cs="Book Antiqua"/>
          <w:color w:val="000000"/>
          <w:sz w:val="23"/>
          <w:szCs w:val="23"/>
        </w:rPr>
        <w:t xml:space="preserve"> </w:t>
      </w:r>
      <w:r w:rsidR="009723C4">
        <w:rPr>
          <w:rFonts w:ascii="Book Antiqua" w:eastAsia="Book Antiqua" w:hAnsi="Book Antiqua" w:cs="Book Antiqua"/>
          <w:color w:val="000000"/>
          <w:sz w:val="23"/>
          <w:szCs w:val="23"/>
        </w:rPr>
        <w:t>in relation to</w:t>
      </w:r>
      <w:r w:rsidR="006132A8">
        <w:rPr>
          <w:rFonts w:ascii="Book Antiqua" w:eastAsia="Book Antiqua" w:hAnsi="Book Antiqua" w:cs="Book Antiqua"/>
          <w:color w:val="000000"/>
          <w:sz w:val="23"/>
          <w:szCs w:val="23"/>
        </w:rPr>
        <w:t xml:space="preserve"> </w:t>
      </w:r>
      <w:r w:rsidR="006132A8" w:rsidRPr="00DF48CA">
        <w:rPr>
          <w:rFonts w:ascii="Book Antiqua" w:eastAsia="Book Antiqua" w:hAnsi="Book Antiqua" w:cs="Book Antiqua"/>
          <w:i/>
          <w:iCs/>
          <w:color w:val="000000"/>
          <w:sz w:val="23"/>
          <w:szCs w:val="23"/>
        </w:rPr>
        <w:t>contra mundu</w:t>
      </w:r>
      <w:r w:rsidR="006132A8" w:rsidRPr="00E55C92">
        <w:rPr>
          <w:rFonts w:ascii="Book Antiqua" w:eastAsia="Book Antiqua" w:hAnsi="Book Antiqua" w:cs="Book Antiqua"/>
          <w:i/>
          <w:iCs/>
          <w:color w:val="000000"/>
          <w:sz w:val="23"/>
          <w:szCs w:val="23"/>
        </w:rPr>
        <w:t>m</w:t>
      </w:r>
      <w:r w:rsidR="006132A8">
        <w:rPr>
          <w:rFonts w:ascii="Book Antiqua" w:eastAsia="Book Antiqua" w:hAnsi="Book Antiqua" w:cs="Book Antiqua"/>
          <w:color w:val="000000"/>
          <w:sz w:val="23"/>
          <w:szCs w:val="23"/>
        </w:rPr>
        <w:t xml:space="preserve"> ‘newcomer’ injunctions to </w:t>
      </w:r>
      <w:r w:rsidR="009723C4">
        <w:rPr>
          <w:rFonts w:ascii="Book Antiqua" w:eastAsia="Book Antiqua" w:hAnsi="Book Antiqua" w:cs="Book Antiqua"/>
          <w:color w:val="000000"/>
          <w:sz w:val="23"/>
          <w:szCs w:val="23"/>
        </w:rPr>
        <w:t xml:space="preserve">identify </w:t>
      </w:r>
      <w:r w:rsidR="00DF48CA">
        <w:rPr>
          <w:rFonts w:ascii="Book Antiqua" w:eastAsia="Book Antiqua" w:hAnsi="Book Antiqua" w:cs="Book Antiqua"/>
          <w:color w:val="000000"/>
          <w:sz w:val="23"/>
          <w:szCs w:val="23"/>
        </w:rPr>
        <w:t>categories of Persons Unknown defendants</w:t>
      </w:r>
      <w:r w:rsidR="00E55C92">
        <w:rPr>
          <w:rFonts w:ascii="Book Antiqua" w:eastAsia="Book Antiqua" w:hAnsi="Book Antiqua" w:cs="Book Antiqua"/>
          <w:color w:val="000000"/>
          <w:sz w:val="23"/>
          <w:szCs w:val="23"/>
        </w:rPr>
        <w:t xml:space="preserve"> and that </w:t>
      </w:r>
      <w:r w:rsidR="009723C4">
        <w:rPr>
          <w:rFonts w:ascii="Book Antiqua" w:eastAsia="Book Antiqua" w:hAnsi="Book Antiqua" w:cs="Book Antiqua"/>
          <w:color w:val="000000"/>
          <w:sz w:val="23"/>
          <w:szCs w:val="23"/>
        </w:rPr>
        <w:t>injunction orders</w:t>
      </w:r>
      <w:r w:rsidR="00F36A4D">
        <w:rPr>
          <w:rFonts w:ascii="Book Antiqua" w:eastAsia="Book Antiqua" w:hAnsi="Book Antiqua" w:cs="Book Antiqua"/>
          <w:color w:val="000000"/>
          <w:sz w:val="23"/>
          <w:szCs w:val="23"/>
        </w:rPr>
        <w:t xml:space="preserve"> directed at those who are not parties</w:t>
      </w:r>
      <w:r w:rsidR="00E55C92">
        <w:rPr>
          <w:rFonts w:ascii="Book Antiqua" w:eastAsia="Book Antiqua" w:hAnsi="Book Antiqua" w:cs="Book Antiqua"/>
          <w:color w:val="000000"/>
          <w:sz w:val="23"/>
          <w:szCs w:val="23"/>
        </w:rPr>
        <w:t xml:space="preserve"> could be simplified </w:t>
      </w:r>
      <w:r w:rsidR="0071211A">
        <w:rPr>
          <w:rFonts w:ascii="Book Antiqua" w:eastAsia="Book Antiqua" w:hAnsi="Book Antiqua" w:cs="Book Antiqua"/>
          <w:color w:val="000000"/>
          <w:sz w:val="23"/>
          <w:szCs w:val="23"/>
        </w:rPr>
        <w:t>t</w:t>
      </w:r>
      <w:r w:rsidR="00C63889">
        <w:rPr>
          <w:rFonts w:ascii="Book Antiqua" w:eastAsia="Book Antiqua" w:hAnsi="Book Antiqua" w:cs="Book Antiqua"/>
          <w:color w:val="000000"/>
          <w:sz w:val="23"/>
          <w:szCs w:val="23"/>
        </w:rPr>
        <w:t>o improve the clarity and comprehensibility of the order:</w:t>
      </w:r>
      <w:r w:rsidR="0071211A">
        <w:rPr>
          <w:rFonts w:ascii="Book Antiqua" w:eastAsia="Book Antiqua" w:hAnsi="Book Antiqua" w:cs="Book Antiqua"/>
          <w:color w:val="000000"/>
          <w:sz w:val="23"/>
          <w:szCs w:val="23"/>
        </w:rPr>
        <w:t xml:space="preserve"> </w:t>
      </w:r>
      <w:r w:rsidR="0085348D">
        <w:rPr>
          <w:rFonts w:ascii="Book Antiqua" w:eastAsia="Book Antiqua" w:hAnsi="Book Antiqua" w:cs="Book Antiqua"/>
          <w:color w:val="000000"/>
          <w:sz w:val="23"/>
          <w:szCs w:val="23"/>
        </w:rPr>
        <w:t xml:space="preserve">see </w:t>
      </w:r>
      <w:r w:rsidR="0085348D">
        <w:rPr>
          <w:rFonts w:ascii="Book Antiqua" w:hAnsi="Book Antiqua"/>
          <w:sz w:val="23"/>
          <w:szCs w:val="23"/>
        </w:rPr>
        <w:t>§§</w:t>
      </w:r>
      <w:r w:rsidR="005C025A">
        <w:rPr>
          <w:rFonts w:ascii="Book Antiqua" w:eastAsia="Book Antiqua" w:hAnsi="Book Antiqua" w:cs="Book Antiqua"/>
          <w:color w:val="000000"/>
          <w:sz w:val="23"/>
          <w:szCs w:val="23"/>
        </w:rPr>
        <w:t>36</w:t>
      </w:r>
      <w:r w:rsidR="000B2E02">
        <w:rPr>
          <w:rFonts w:ascii="Book Antiqua" w:eastAsia="Book Antiqua" w:hAnsi="Book Antiqua" w:cs="Book Antiqua"/>
          <w:color w:val="000000"/>
          <w:sz w:val="23"/>
          <w:szCs w:val="23"/>
        </w:rPr>
        <w:t>0</w:t>
      </w:r>
      <w:r w:rsidR="005C025A">
        <w:rPr>
          <w:rFonts w:ascii="Book Antiqua" w:eastAsia="Book Antiqua" w:hAnsi="Book Antiqua" w:cs="Book Antiqua"/>
          <w:color w:val="000000"/>
          <w:sz w:val="23"/>
          <w:szCs w:val="23"/>
        </w:rPr>
        <w:t>-</w:t>
      </w:r>
      <w:r w:rsidR="00362431">
        <w:rPr>
          <w:rFonts w:ascii="Book Antiqua" w:eastAsia="Book Antiqua" w:hAnsi="Book Antiqua" w:cs="Book Antiqua"/>
          <w:color w:val="000000"/>
          <w:sz w:val="23"/>
          <w:szCs w:val="23"/>
        </w:rPr>
        <w:t xml:space="preserve">362 </w:t>
      </w:r>
      <w:r w:rsidR="00362431">
        <w:rPr>
          <w:rFonts w:ascii="Book Antiqua" w:eastAsia="Book Antiqua" w:hAnsi="Book Antiqua" w:cs="Book Antiqua"/>
          <w:b/>
          <w:bCs/>
          <w:color w:val="000000"/>
          <w:sz w:val="23"/>
          <w:szCs w:val="23"/>
        </w:rPr>
        <w:t>[AB/</w:t>
      </w:r>
      <w:r w:rsidR="00631EB8">
        <w:rPr>
          <w:rFonts w:ascii="Book Antiqua" w:eastAsia="Book Antiqua" w:hAnsi="Book Antiqua" w:cs="Book Antiqua"/>
          <w:b/>
          <w:bCs/>
          <w:color w:val="000000"/>
          <w:sz w:val="23"/>
          <w:szCs w:val="23"/>
        </w:rPr>
        <w:t>15/5</w:t>
      </w:r>
      <w:r w:rsidR="005C025A">
        <w:rPr>
          <w:rFonts w:ascii="Book Antiqua" w:eastAsia="Book Antiqua" w:hAnsi="Book Antiqua" w:cs="Book Antiqua"/>
          <w:b/>
          <w:bCs/>
          <w:color w:val="000000"/>
          <w:sz w:val="23"/>
          <w:szCs w:val="23"/>
        </w:rPr>
        <w:t>0</w:t>
      </w:r>
      <w:r w:rsidR="00F00238">
        <w:rPr>
          <w:rFonts w:ascii="Book Antiqua" w:eastAsia="Book Antiqua" w:hAnsi="Book Antiqua" w:cs="Book Antiqua"/>
          <w:b/>
          <w:bCs/>
          <w:color w:val="000000"/>
          <w:sz w:val="23"/>
          <w:szCs w:val="23"/>
        </w:rPr>
        <w:t>8</w:t>
      </w:r>
      <w:r w:rsidR="00631EB8">
        <w:rPr>
          <w:rFonts w:ascii="Book Antiqua" w:eastAsia="Book Antiqua" w:hAnsi="Book Antiqua" w:cs="Book Antiqua"/>
          <w:b/>
          <w:bCs/>
          <w:color w:val="000000"/>
          <w:sz w:val="23"/>
          <w:szCs w:val="23"/>
        </w:rPr>
        <w:t>]</w:t>
      </w:r>
      <w:r w:rsidR="00631EB8">
        <w:rPr>
          <w:rFonts w:ascii="Book Antiqua" w:eastAsia="Book Antiqua" w:hAnsi="Book Antiqua" w:cs="Book Antiqua"/>
          <w:color w:val="000000"/>
          <w:sz w:val="23"/>
          <w:szCs w:val="23"/>
        </w:rPr>
        <w:t>.</w:t>
      </w:r>
      <w:r w:rsidR="006A7CA7">
        <w:rPr>
          <w:rFonts w:ascii="Book Antiqua" w:eastAsia="Book Antiqua" w:hAnsi="Book Antiqua" w:cs="Book Antiqua"/>
          <w:color w:val="000000"/>
          <w:sz w:val="23"/>
          <w:szCs w:val="23"/>
        </w:rPr>
        <w:t xml:space="preserve"> </w:t>
      </w:r>
    </w:p>
    <w:p w14:paraId="2B23F0F3" w14:textId="31AD6D75" w:rsidR="00974A90" w:rsidRPr="005F6E97" w:rsidRDefault="0085348D" w:rsidP="00A94BC6">
      <w:pPr>
        <w:pStyle w:val="ListParagraph"/>
        <w:numPr>
          <w:ilvl w:val="0"/>
          <w:numId w:val="3"/>
        </w:numPr>
        <w:tabs>
          <w:tab w:val="left" w:pos="1701"/>
        </w:tabs>
        <w:spacing w:line="360" w:lineRule="auto"/>
        <w:ind w:left="567" w:hanging="567"/>
        <w:contextualSpacing w:val="0"/>
        <w:jc w:val="both"/>
        <w:rPr>
          <w:rFonts w:ascii="Book Antiqua" w:hAnsi="Book Antiqua"/>
          <w:sz w:val="23"/>
          <w:szCs w:val="23"/>
        </w:rPr>
      </w:pPr>
      <w:r w:rsidRPr="00C155C8">
        <w:rPr>
          <w:rFonts w:ascii="Book Antiqua" w:hAnsi="Book Antiqua"/>
          <w:sz w:val="23"/>
          <w:szCs w:val="23"/>
        </w:rPr>
        <w:t>Th</w:t>
      </w:r>
      <w:r>
        <w:rPr>
          <w:rFonts w:ascii="Book Antiqua" w:hAnsi="Book Antiqua"/>
          <w:sz w:val="23"/>
          <w:szCs w:val="23"/>
        </w:rPr>
        <w:t xml:space="preserve">at approach was considered and adopted by Fordham J. </w:t>
      </w:r>
      <w:r w:rsidR="00EE1E8A">
        <w:rPr>
          <w:rFonts w:ascii="Book Antiqua" w:eastAsia="Book Antiqua" w:hAnsi="Book Antiqua" w:cs="Book Antiqua"/>
          <w:color w:val="000000"/>
          <w:sz w:val="23"/>
          <w:szCs w:val="23"/>
        </w:rPr>
        <w:t xml:space="preserve">Protection </w:t>
      </w:r>
      <w:r w:rsidR="00281B1B">
        <w:rPr>
          <w:rFonts w:ascii="Book Antiqua" w:eastAsia="Book Antiqua" w:hAnsi="Book Antiqua" w:cs="Book Antiqua"/>
          <w:color w:val="000000"/>
          <w:sz w:val="23"/>
          <w:szCs w:val="23"/>
        </w:rPr>
        <w:t>against</w:t>
      </w:r>
      <w:r w:rsidR="0087303E">
        <w:rPr>
          <w:rFonts w:ascii="Book Antiqua" w:eastAsia="Book Antiqua" w:hAnsi="Book Antiqua" w:cs="Book Antiqua"/>
          <w:color w:val="000000"/>
          <w:sz w:val="23"/>
          <w:szCs w:val="23"/>
        </w:rPr>
        <w:t xml:space="preserve"> any perceived risk of </w:t>
      </w:r>
      <w:r w:rsidR="0087303E" w:rsidRPr="0087303E">
        <w:rPr>
          <w:rFonts w:ascii="Book Antiqua" w:eastAsia="Book Antiqua" w:hAnsi="Book Antiqua" w:cs="Book Antiqua"/>
          <w:color w:val="000000"/>
          <w:sz w:val="23"/>
          <w:szCs w:val="23"/>
        </w:rPr>
        <w:t>contempt applications being brought for trivial infringements</w:t>
      </w:r>
      <w:r w:rsidR="0087303E">
        <w:rPr>
          <w:rFonts w:ascii="Book Antiqua" w:eastAsia="Book Antiqua" w:hAnsi="Book Antiqua" w:cs="Book Antiqua"/>
          <w:color w:val="000000"/>
          <w:sz w:val="23"/>
          <w:szCs w:val="23"/>
        </w:rPr>
        <w:t xml:space="preserve">, </w:t>
      </w:r>
      <w:r w:rsidR="00EE1E8A">
        <w:rPr>
          <w:rFonts w:ascii="Book Antiqua" w:eastAsia="Book Antiqua" w:hAnsi="Book Antiqua" w:cs="Book Antiqua"/>
          <w:color w:val="000000"/>
          <w:sz w:val="23"/>
          <w:szCs w:val="23"/>
        </w:rPr>
        <w:t>is factored into the Draft Order by</w:t>
      </w:r>
      <w:r w:rsidR="00A44C98">
        <w:rPr>
          <w:rFonts w:ascii="Book Antiqua" w:eastAsia="Book Antiqua" w:hAnsi="Book Antiqua" w:cs="Book Antiqua"/>
          <w:color w:val="000000"/>
          <w:sz w:val="23"/>
          <w:szCs w:val="23"/>
        </w:rPr>
        <w:t xml:space="preserve"> the requirement </w:t>
      </w:r>
      <w:r w:rsidR="00EE1E8A">
        <w:rPr>
          <w:rFonts w:ascii="Book Antiqua" w:eastAsia="Book Antiqua" w:hAnsi="Book Antiqua" w:cs="Book Antiqua"/>
          <w:color w:val="000000"/>
          <w:sz w:val="23"/>
          <w:szCs w:val="23"/>
        </w:rPr>
        <w:t>at</w:t>
      </w:r>
      <w:r w:rsidR="00A44C98">
        <w:rPr>
          <w:rFonts w:ascii="Book Antiqua" w:eastAsia="Book Antiqua" w:hAnsi="Book Antiqua" w:cs="Book Antiqua"/>
          <w:color w:val="000000"/>
          <w:sz w:val="23"/>
          <w:szCs w:val="23"/>
        </w:rPr>
        <w:t xml:space="preserve"> </w:t>
      </w:r>
      <w:r w:rsidR="00F0558B">
        <w:rPr>
          <w:rFonts w:ascii="Book Antiqua" w:eastAsia="Book Antiqua" w:hAnsi="Book Antiqua" w:cs="Book Antiqua"/>
          <w:color w:val="000000"/>
          <w:sz w:val="23"/>
          <w:szCs w:val="23"/>
        </w:rPr>
        <w:t>§1</w:t>
      </w:r>
      <w:r w:rsidR="00286F8E">
        <w:rPr>
          <w:rFonts w:ascii="Book Antiqua" w:eastAsia="Book Antiqua" w:hAnsi="Book Antiqua" w:cs="Book Antiqua"/>
          <w:color w:val="000000"/>
          <w:sz w:val="23"/>
          <w:szCs w:val="23"/>
        </w:rPr>
        <w:t>3</w:t>
      </w:r>
      <w:r w:rsidR="00F0558B">
        <w:rPr>
          <w:rFonts w:ascii="Book Antiqua" w:eastAsia="Book Antiqua" w:hAnsi="Book Antiqua" w:cs="Book Antiqua"/>
          <w:color w:val="000000"/>
          <w:sz w:val="23"/>
          <w:szCs w:val="23"/>
        </w:rPr>
        <w:t xml:space="preserve">, that </w:t>
      </w:r>
      <w:r w:rsidR="00620F24">
        <w:rPr>
          <w:rFonts w:ascii="Book Antiqua" w:eastAsia="Book Antiqua" w:hAnsi="Book Antiqua" w:cs="Book Antiqua"/>
          <w:color w:val="000000"/>
          <w:sz w:val="23"/>
          <w:szCs w:val="23"/>
        </w:rPr>
        <w:t>“</w:t>
      </w:r>
      <w:r w:rsidR="00620F24" w:rsidRPr="00620F24">
        <w:rPr>
          <w:rFonts w:ascii="Book Antiqua" w:hAnsi="Book Antiqua"/>
          <w:i/>
          <w:iCs/>
          <w:sz w:val="23"/>
          <w:szCs w:val="23"/>
        </w:rPr>
        <w:t>Any contempt application against any Person Unknown may only be brought with the permission of the Court</w:t>
      </w:r>
      <w:r w:rsidR="00620F24">
        <w:rPr>
          <w:rFonts w:ascii="Book Antiqua" w:hAnsi="Book Antiqua"/>
          <w:sz w:val="23"/>
          <w:szCs w:val="23"/>
        </w:rPr>
        <w:t xml:space="preserve">” </w:t>
      </w:r>
      <w:r w:rsidR="00620F24">
        <w:rPr>
          <w:rFonts w:ascii="Book Antiqua" w:hAnsi="Book Antiqua"/>
          <w:b/>
          <w:bCs/>
          <w:sz w:val="23"/>
          <w:szCs w:val="23"/>
        </w:rPr>
        <w:t>[</w:t>
      </w:r>
      <w:r w:rsidR="002D5344">
        <w:rPr>
          <w:rFonts w:ascii="Book Antiqua" w:hAnsi="Book Antiqua"/>
          <w:b/>
          <w:bCs/>
          <w:sz w:val="23"/>
          <w:szCs w:val="23"/>
        </w:rPr>
        <w:t>SB/4/669</w:t>
      </w:r>
      <w:r w:rsidR="00933FF0">
        <w:rPr>
          <w:rFonts w:ascii="Book Antiqua" w:hAnsi="Book Antiqua"/>
          <w:b/>
          <w:bCs/>
          <w:sz w:val="23"/>
          <w:szCs w:val="23"/>
        </w:rPr>
        <w:t>(</w:t>
      </w:r>
      <w:r w:rsidR="00455750">
        <w:rPr>
          <w:rFonts w:ascii="Book Antiqua" w:hAnsi="Book Antiqua"/>
          <w:b/>
          <w:bCs/>
          <w:sz w:val="23"/>
          <w:szCs w:val="23"/>
        </w:rPr>
        <w:t>PDF31</w:t>
      </w:r>
      <w:r w:rsidR="00933FF0">
        <w:rPr>
          <w:rFonts w:ascii="Book Antiqua" w:hAnsi="Book Antiqua"/>
          <w:b/>
          <w:bCs/>
          <w:sz w:val="23"/>
          <w:szCs w:val="23"/>
        </w:rPr>
        <w:t>)</w:t>
      </w:r>
      <w:r w:rsidR="00455750">
        <w:rPr>
          <w:rFonts w:ascii="Book Antiqua" w:hAnsi="Book Antiqua"/>
          <w:b/>
          <w:bCs/>
          <w:sz w:val="23"/>
          <w:szCs w:val="23"/>
        </w:rPr>
        <w:t>]</w:t>
      </w:r>
      <w:r w:rsidR="00EE1E8A">
        <w:rPr>
          <w:rFonts w:ascii="Book Antiqua" w:hAnsi="Book Antiqua"/>
          <w:b/>
          <w:bCs/>
          <w:sz w:val="23"/>
          <w:szCs w:val="23"/>
        </w:rPr>
        <w:t xml:space="preserve"> </w:t>
      </w:r>
      <w:r w:rsidR="00EE1E8A" w:rsidRPr="009D1C56">
        <w:rPr>
          <w:rFonts w:ascii="Book Antiqua" w:hAnsi="Book Antiqua"/>
          <w:sz w:val="23"/>
          <w:szCs w:val="23"/>
        </w:rPr>
        <w:t>(and by the ability of any affected person to apply for the order to be varied or dis</w:t>
      </w:r>
      <w:r w:rsidR="009D1C56">
        <w:rPr>
          <w:rFonts w:ascii="Book Antiqua" w:hAnsi="Book Antiqua"/>
          <w:sz w:val="23"/>
          <w:szCs w:val="23"/>
        </w:rPr>
        <w:t xml:space="preserve">charged, at </w:t>
      </w:r>
      <w:r w:rsidR="009D1C56">
        <w:rPr>
          <w:rFonts w:ascii="Book Antiqua" w:eastAsia="Book Antiqua" w:hAnsi="Book Antiqua" w:cs="Book Antiqua"/>
          <w:color w:val="000000"/>
          <w:sz w:val="23"/>
          <w:szCs w:val="23"/>
        </w:rPr>
        <w:t>§5 of the Draft Order</w:t>
      </w:r>
      <w:r w:rsidR="00EE1E8A" w:rsidRPr="009D1C56">
        <w:rPr>
          <w:rFonts w:ascii="Book Antiqua" w:hAnsi="Book Antiqua"/>
          <w:sz w:val="23"/>
          <w:szCs w:val="23"/>
        </w:rPr>
        <w:t>)</w:t>
      </w:r>
      <w:r w:rsidR="00422E11" w:rsidRPr="009D1C56">
        <w:rPr>
          <w:rFonts w:ascii="Book Antiqua" w:hAnsi="Book Antiqua"/>
          <w:sz w:val="23"/>
          <w:szCs w:val="23"/>
        </w:rPr>
        <w:t>.</w:t>
      </w:r>
    </w:p>
    <w:p w14:paraId="52FC4348" w14:textId="3427B779" w:rsidR="00352077" w:rsidRPr="00286F8E" w:rsidRDefault="00974A90" w:rsidP="00286F8E">
      <w:pPr>
        <w:pStyle w:val="ListParagraph"/>
        <w:numPr>
          <w:ilvl w:val="0"/>
          <w:numId w:val="3"/>
        </w:numPr>
        <w:tabs>
          <w:tab w:val="left" w:pos="1701"/>
        </w:tabs>
        <w:spacing w:line="360" w:lineRule="auto"/>
        <w:ind w:left="567" w:hanging="567"/>
        <w:contextualSpacing w:val="0"/>
        <w:jc w:val="both"/>
        <w:rPr>
          <w:rFonts w:ascii="Book Antiqua" w:hAnsi="Book Antiqua"/>
          <w:sz w:val="23"/>
          <w:szCs w:val="23"/>
        </w:rPr>
      </w:pPr>
      <w:r>
        <w:rPr>
          <w:rFonts w:ascii="Book Antiqua" w:eastAsia="Book Antiqua" w:hAnsi="Book Antiqua" w:cs="Book Antiqua"/>
          <w:color w:val="000000"/>
          <w:sz w:val="23"/>
          <w:szCs w:val="23"/>
        </w:rPr>
        <w:t xml:space="preserve">Alternatively, if the Court </w:t>
      </w:r>
      <w:r w:rsidR="00C14F9D">
        <w:rPr>
          <w:rFonts w:ascii="Book Antiqua" w:eastAsia="Book Antiqua" w:hAnsi="Book Antiqua" w:cs="Book Antiqua"/>
          <w:color w:val="000000"/>
          <w:sz w:val="23"/>
          <w:szCs w:val="23"/>
        </w:rPr>
        <w:t>rejects that approach</w:t>
      </w:r>
      <w:r>
        <w:rPr>
          <w:rFonts w:ascii="Book Antiqua" w:eastAsia="Book Antiqua" w:hAnsi="Book Antiqua" w:cs="Book Antiqua"/>
          <w:color w:val="000000"/>
          <w:sz w:val="23"/>
          <w:szCs w:val="23"/>
        </w:rPr>
        <w:t xml:space="preserve">, </w:t>
      </w:r>
      <w:r w:rsidR="00B56821" w:rsidRPr="00352077">
        <w:rPr>
          <w:rFonts w:ascii="Book Antiqua" w:eastAsia="Book Antiqua" w:hAnsi="Book Antiqua" w:cs="Book Antiqua"/>
          <w:color w:val="000000"/>
          <w:sz w:val="23"/>
          <w:szCs w:val="23"/>
        </w:rPr>
        <w:t xml:space="preserve">Persons Unknown </w:t>
      </w:r>
      <w:r w:rsidR="00286F8E">
        <w:rPr>
          <w:rFonts w:ascii="Book Antiqua" w:eastAsia="Book Antiqua" w:hAnsi="Book Antiqua" w:cs="Book Antiqua"/>
          <w:color w:val="000000"/>
          <w:sz w:val="23"/>
          <w:szCs w:val="23"/>
        </w:rPr>
        <w:t xml:space="preserve">are capable of being </w:t>
      </w:r>
      <w:r w:rsidR="00B56821" w:rsidRPr="00286F8E">
        <w:rPr>
          <w:rFonts w:ascii="Book Antiqua" w:eastAsia="Book Antiqua" w:hAnsi="Book Antiqua" w:cs="Book Antiqua"/>
          <w:color w:val="000000"/>
          <w:sz w:val="23"/>
          <w:szCs w:val="23"/>
        </w:rPr>
        <w:t>clearly and plainly identified by reference to the tortious conduct prohibited (trespass) and clearly defined geographical boundaries</w:t>
      </w:r>
      <w:r w:rsidR="009D1C56">
        <w:rPr>
          <w:rFonts w:ascii="Book Antiqua" w:eastAsia="Book Antiqua" w:hAnsi="Book Antiqua" w:cs="Book Antiqua"/>
          <w:color w:val="000000"/>
          <w:sz w:val="23"/>
          <w:szCs w:val="23"/>
        </w:rPr>
        <w:t>, as originally drafted</w:t>
      </w:r>
      <w:r w:rsidR="00B56821" w:rsidRPr="00286F8E">
        <w:rPr>
          <w:rFonts w:ascii="Book Antiqua" w:eastAsia="Book Antiqua" w:hAnsi="Book Antiqua" w:cs="Book Antiqua"/>
          <w:color w:val="000000"/>
          <w:sz w:val="23"/>
          <w:szCs w:val="23"/>
        </w:rPr>
        <w:t xml:space="preserve">. </w:t>
      </w:r>
    </w:p>
    <w:p w14:paraId="0EF7B015" w14:textId="77777777" w:rsidR="00352077" w:rsidRPr="00352077" w:rsidRDefault="00352077" w:rsidP="00624586">
      <w:pPr>
        <w:pStyle w:val="ListParagraph"/>
        <w:numPr>
          <w:ilvl w:val="0"/>
          <w:numId w:val="3"/>
        </w:numPr>
        <w:tabs>
          <w:tab w:val="left" w:pos="1701"/>
        </w:tabs>
        <w:spacing w:line="360" w:lineRule="auto"/>
        <w:ind w:left="567" w:hanging="567"/>
        <w:contextualSpacing w:val="0"/>
        <w:jc w:val="both"/>
        <w:rPr>
          <w:rFonts w:ascii="Book Antiqua" w:hAnsi="Book Antiqua"/>
          <w:sz w:val="23"/>
          <w:szCs w:val="23"/>
        </w:rPr>
      </w:pPr>
      <w:r>
        <w:rPr>
          <w:rFonts w:ascii="Book Antiqua" w:eastAsia="Book Antiqua" w:hAnsi="Book Antiqua" w:cs="Book Antiqua"/>
          <w:b/>
          <w:bCs/>
          <w:color w:val="000000"/>
          <w:sz w:val="23"/>
          <w:szCs w:val="23"/>
        </w:rPr>
        <w:t xml:space="preserve">Ninthly, </w:t>
      </w:r>
      <w:r w:rsidRPr="00352077">
        <w:rPr>
          <w:rFonts w:ascii="Book Antiqua" w:eastAsia="Book Antiqua" w:hAnsi="Book Antiqua" w:cs="Book Antiqua"/>
          <w:color w:val="000000"/>
          <w:sz w:val="23"/>
          <w:szCs w:val="23"/>
        </w:rPr>
        <w:t>t</w:t>
      </w:r>
      <w:r w:rsidR="00B56821" w:rsidRPr="00352077">
        <w:rPr>
          <w:rFonts w:ascii="Book Antiqua" w:eastAsia="Book Antiqua" w:hAnsi="Book Antiqua" w:cs="Book Antiqua"/>
          <w:color w:val="000000"/>
          <w:sz w:val="23"/>
          <w:szCs w:val="23"/>
        </w:rPr>
        <w:t xml:space="preserve">he prohibition in the draft Order is set out in clear words. It does not prohibit any conduct which would be lawful on its own. </w:t>
      </w:r>
    </w:p>
    <w:p w14:paraId="7301F1EA" w14:textId="77777777" w:rsidR="00352077" w:rsidRPr="00352077" w:rsidRDefault="00352077" w:rsidP="00624586">
      <w:pPr>
        <w:pStyle w:val="ListParagraph"/>
        <w:numPr>
          <w:ilvl w:val="0"/>
          <w:numId w:val="3"/>
        </w:numPr>
        <w:tabs>
          <w:tab w:val="left" w:pos="1701"/>
        </w:tabs>
        <w:spacing w:line="360" w:lineRule="auto"/>
        <w:ind w:left="567" w:hanging="567"/>
        <w:contextualSpacing w:val="0"/>
        <w:jc w:val="both"/>
        <w:rPr>
          <w:rFonts w:ascii="Book Antiqua" w:hAnsi="Book Antiqua"/>
          <w:sz w:val="23"/>
          <w:szCs w:val="23"/>
        </w:rPr>
      </w:pPr>
      <w:r>
        <w:rPr>
          <w:rFonts w:ascii="Book Antiqua" w:eastAsia="Book Antiqua" w:hAnsi="Book Antiqua" w:cs="Book Antiqua"/>
          <w:b/>
          <w:bCs/>
          <w:color w:val="000000"/>
          <w:sz w:val="23"/>
          <w:szCs w:val="23"/>
        </w:rPr>
        <w:t xml:space="preserve">Tenthly, </w:t>
      </w:r>
      <w:r w:rsidRPr="00352077">
        <w:rPr>
          <w:rFonts w:ascii="Book Antiqua" w:eastAsia="Book Antiqua" w:hAnsi="Book Antiqua" w:cs="Book Antiqua"/>
          <w:color w:val="000000"/>
          <w:sz w:val="23"/>
          <w:szCs w:val="23"/>
        </w:rPr>
        <w:t>t</w:t>
      </w:r>
      <w:r w:rsidR="00B56821" w:rsidRPr="00352077">
        <w:rPr>
          <w:rFonts w:ascii="Book Antiqua" w:eastAsia="Book Antiqua" w:hAnsi="Book Antiqua" w:cs="Book Antiqua"/>
          <w:color w:val="000000"/>
          <w:sz w:val="23"/>
          <w:szCs w:val="23"/>
        </w:rPr>
        <w:t xml:space="preserve">he prohibition in the draft Order mirrors the torts claimed. </w:t>
      </w:r>
    </w:p>
    <w:p w14:paraId="103DB5D6" w14:textId="77777777" w:rsidR="00352077" w:rsidRPr="00352077" w:rsidRDefault="00352077" w:rsidP="00624586">
      <w:pPr>
        <w:pStyle w:val="ListParagraph"/>
        <w:numPr>
          <w:ilvl w:val="0"/>
          <w:numId w:val="3"/>
        </w:numPr>
        <w:tabs>
          <w:tab w:val="left" w:pos="1701"/>
        </w:tabs>
        <w:spacing w:line="360" w:lineRule="auto"/>
        <w:ind w:left="567" w:hanging="567"/>
        <w:contextualSpacing w:val="0"/>
        <w:jc w:val="both"/>
        <w:rPr>
          <w:rFonts w:ascii="Book Antiqua" w:hAnsi="Book Antiqua"/>
          <w:sz w:val="23"/>
          <w:szCs w:val="23"/>
        </w:rPr>
      </w:pPr>
      <w:r>
        <w:rPr>
          <w:rFonts w:ascii="Book Antiqua" w:eastAsia="Book Antiqua" w:hAnsi="Book Antiqua" w:cs="Book Antiqua"/>
          <w:b/>
          <w:bCs/>
          <w:color w:val="000000"/>
          <w:sz w:val="23"/>
          <w:szCs w:val="23"/>
        </w:rPr>
        <w:t xml:space="preserve">Eleventhly, </w:t>
      </w:r>
      <w:r w:rsidRPr="00352077">
        <w:rPr>
          <w:rFonts w:ascii="Book Antiqua" w:eastAsia="Book Antiqua" w:hAnsi="Book Antiqua" w:cs="Book Antiqua"/>
          <w:color w:val="000000"/>
          <w:sz w:val="23"/>
          <w:szCs w:val="23"/>
        </w:rPr>
        <w:t>t</w:t>
      </w:r>
      <w:r w:rsidR="00B56821" w:rsidRPr="00352077">
        <w:rPr>
          <w:rFonts w:ascii="Book Antiqua" w:eastAsia="Book Antiqua" w:hAnsi="Book Antiqua" w:cs="Book Antiqua"/>
          <w:color w:val="000000"/>
          <w:sz w:val="23"/>
          <w:szCs w:val="23"/>
        </w:rPr>
        <w:t xml:space="preserve">he prohibition in the draft Order is defined by clear geographic boundaries. </w:t>
      </w:r>
    </w:p>
    <w:p w14:paraId="096C4454" w14:textId="19DABFF6" w:rsidR="00375EB9" w:rsidRPr="00C10724" w:rsidRDefault="00352077" w:rsidP="00C10724">
      <w:pPr>
        <w:pStyle w:val="ListParagraph"/>
        <w:numPr>
          <w:ilvl w:val="0"/>
          <w:numId w:val="3"/>
        </w:numPr>
        <w:tabs>
          <w:tab w:val="left" w:pos="1701"/>
        </w:tabs>
        <w:spacing w:line="360" w:lineRule="auto"/>
        <w:ind w:left="567" w:hanging="567"/>
        <w:contextualSpacing w:val="0"/>
        <w:jc w:val="both"/>
        <w:rPr>
          <w:rFonts w:ascii="Book Antiqua" w:eastAsia="Book Antiqua" w:hAnsi="Book Antiqua" w:cs="Book Antiqua"/>
          <w:color w:val="000000"/>
          <w:sz w:val="23"/>
          <w:szCs w:val="23"/>
        </w:rPr>
      </w:pPr>
      <w:r w:rsidRPr="00352077">
        <w:rPr>
          <w:rFonts w:ascii="Book Antiqua" w:eastAsia="Book Antiqua" w:hAnsi="Book Antiqua" w:cs="Book Antiqua"/>
          <w:b/>
          <w:bCs/>
          <w:color w:val="000000"/>
          <w:sz w:val="23"/>
          <w:szCs w:val="23"/>
        </w:rPr>
        <w:t>Twelfthly</w:t>
      </w:r>
      <w:r>
        <w:rPr>
          <w:rFonts w:ascii="Book Antiqua" w:eastAsia="Book Antiqua" w:hAnsi="Book Antiqua" w:cs="Book Antiqua"/>
          <w:color w:val="000000"/>
          <w:sz w:val="23"/>
          <w:szCs w:val="23"/>
        </w:rPr>
        <w:t>, t</w:t>
      </w:r>
      <w:r w:rsidR="00FF305F" w:rsidRPr="00352077">
        <w:rPr>
          <w:rFonts w:ascii="Book Antiqua" w:eastAsia="Book Antiqua" w:hAnsi="Book Antiqua" w:cs="Book Antiqua"/>
          <w:color w:val="000000"/>
          <w:sz w:val="23"/>
          <w:szCs w:val="23"/>
        </w:rPr>
        <w:t>he</w:t>
      </w:r>
      <w:r w:rsidR="006A5E16" w:rsidRPr="00352077">
        <w:rPr>
          <w:rFonts w:ascii="Book Antiqua" w:eastAsia="Book Antiqua" w:hAnsi="Book Antiqua" w:cs="Book Antiqua"/>
          <w:color w:val="000000"/>
          <w:sz w:val="23"/>
          <w:szCs w:val="23"/>
        </w:rPr>
        <w:t xml:space="preserve"> </w:t>
      </w:r>
      <w:r w:rsidR="007D7AB2" w:rsidRPr="00352077">
        <w:rPr>
          <w:rFonts w:ascii="Book Antiqua" w:eastAsia="Book Antiqua" w:hAnsi="Book Antiqua" w:cs="Book Antiqua"/>
          <w:color w:val="000000"/>
          <w:sz w:val="23"/>
          <w:szCs w:val="23"/>
        </w:rPr>
        <w:t>University</w:t>
      </w:r>
      <w:r w:rsidR="006A5E16" w:rsidRPr="00352077">
        <w:rPr>
          <w:rFonts w:ascii="Book Antiqua" w:eastAsia="Book Antiqua" w:hAnsi="Book Antiqua" w:cs="Book Antiqua"/>
          <w:color w:val="000000"/>
          <w:sz w:val="23"/>
          <w:szCs w:val="23"/>
        </w:rPr>
        <w:t xml:space="preserve"> seeks </w:t>
      </w:r>
      <w:r w:rsidR="00C10724">
        <w:rPr>
          <w:rFonts w:ascii="Book Antiqua" w:eastAsia="Book Antiqua" w:hAnsi="Book Antiqua" w:cs="Book Antiqua"/>
          <w:color w:val="000000"/>
          <w:sz w:val="23"/>
          <w:szCs w:val="23"/>
        </w:rPr>
        <w:t>a short injunction of approximately 4 months, the expiry of which coincides with the end of the academic year.</w:t>
      </w:r>
      <w:r w:rsidR="006A5E16" w:rsidRPr="00352077">
        <w:rPr>
          <w:rFonts w:ascii="Book Antiqua" w:eastAsia="Book Antiqua" w:hAnsi="Book Antiqua" w:cs="Book Antiqua"/>
          <w:color w:val="000000"/>
          <w:sz w:val="23"/>
          <w:szCs w:val="23"/>
        </w:rPr>
        <w:t xml:space="preserve"> </w:t>
      </w:r>
      <w:r w:rsidR="00386747">
        <w:rPr>
          <w:rFonts w:ascii="Book Antiqua" w:eastAsia="Book Antiqua" w:hAnsi="Book Antiqua" w:cs="Book Antiqua"/>
          <w:color w:val="000000"/>
          <w:sz w:val="23"/>
          <w:szCs w:val="23"/>
        </w:rPr>
        <w:t>During this period, the</w:t>
      </w:r>
      <w:r w:rsidR="00050A5C">
        <w:rPr>
          <w:rFonts w:ascii="Book Antiqua" w:eastAsia="Book Antiqua" w:hAnsi="Book Antiqua" w:cs="Book Antiqua"/>
          <w:color w:val="000000"/>
          <w:sz w:val="23"/>
          <w:szCs w:val="23"/>
        </w:rPr>
        <w:t xml:space="preserve"> University will review the risk of Direct Action and consider whether</w:t>
      </w:r>
      <w:r w:rsidR="00386747">
        <w:rPr>
          <w:rFonts w:ascii="Book Antiqua" w:eastAsia="Book Antiqua" w:hAnsi="Book Antiqua" w:cs="Book Antiqua"/>
          <w:color w:val="000000"/>
          <w:sz w:val="23"/>
          <w:szCs w:val="23"/>
        </w:rPr>
        <w:t xml:space="preserve">, before the expiry of the injunction (if granted), it </w:t>
      </w:r>
      <w:r w:rsidR="00802FCB">
        <w:rPr>
          <w:rFonts w:ascii="Book Antiqua" w:eastAsia="Book Antiqua" w:hAnsi="Book Antiqua" w:cs="Book Antiqua"/>
          <w:color w:val="000000"/>
          <w:sz w:val="23"/>
          <w:szCs w:val="23"/>
        </w:rPr>
        <w:t xml:space="preserve">is necessary to seek </w:t>
      </w:r>
      <w:r w:rsidR="008A1D99">
        <w:rPr>
          <w:rFonts w:ascii="Book Antiqua" w:eastAsia="Book Antiqua" w:hAnsi="Book Antiqua" w:cs="Book Antiqua"/>
          <w:color w:val="000000"/>
          <w:sz w:val="23"/>
          <w:szCs w:val="23"/>
        </w:rPr>
        <w:t>further</w:t>
      </w:r>
      <w:r w:rsidR="00802FCB">
        <w:rPr>
          <w:rFonts w:ascii="Book Antiqua" w:eastAsia="Book Antiqua" w:hAnsi="Book Antiqua" w:cs="Book Antiqua"/>
          <w:color w:val="000000"/>
          <w:sz w:val="23"/>
          <w:szCs w:val="23"/>
        </w:rPr>
        <w:t xml:space="preserve"> relief </w:t>
      </w:r>
      <w:r w:rsidR="000B2F6D">
        <w:rPr>
          <w:rFonts w:ascii="Book Antiqua" w:eastAsia="Book Antiqua" w:hAnsi="Book Antiqua" w:cs="Book Antiqua"/>
          <w:color w:val="000000"/>
          <w:sz w:val="23"/>
          <w:szCs w:val="23"/>
        </w:rPr>
        <w:t>for</w:t>
      </w:r>
      <w:r w:rsidR="00802FCB">
        <w:rPr>
          <w:rFonts w:ascii="Book Antiqua" w:eastAsia="Book Antiqua" w:hAnsi="Book Antiqua" w:cs="Book Antiqua"/>
          <w:color w:val="000000"/>
          <w:sz w:val="23"/>
          <w:szCs w:val="23"/>
        </w:rPr>
        <w:t xml:space="preserve"> a longer duration. </w:t>
      </w:r>
    </w:p>
    <w:p w14:paraId="6480500D" w14:textId="5225B53D" w:rsidR="00352077" w:rsidRPr="00352077" w:rsidRDefault="00352077" w:rsidP="00624586">
      <w:pPr>
        <w:pStyle w:val="ListParagraph"/>
        <w:numPr>
          <w:ilvl w:val="0"/>
          <w:numId w:val="3"/>
        </w:numPr>
        <w:tabs>
          <w:tab w:val="left" w:pos="1701"/>
        </w:tabs>
        <w:spacing w:line="360" w:lineRule="auto"/>
        <w:ind w:left="567" w:hanging="567"/>
        <w:contextualSpacing w:val="0"/>
        <w:jc w:val="both"/>
        <w:rPr>
          <w:rFonts w:ascii="Book Antiqua" w:hAnsi="Book Antiqua"/>
          <w:sz w:val="23"/>
          <w:szCs w:val="23"/>
        </w:rPr>
      </w:pPr>
      <w:r>
        <w:rPr>
          <w:rFonts w:ascii="Book Antiqua" w:eastAsia="Book Antiqua" w:hAnsi="Book Antiqua" w:cs="Book Antiqua"/>
          <w:b/>
          <w:bCs/>
          <w:color w:val="000000"/>
          <w:sz w:val="23"/>
          <w:szCs w:val="23"/>
        </w:rPr>
        <w:t>Thirteenthly</w:t>
      </w:r>
      <w:r>
        <w:rPr>
          <w:rFonts w:ascii="Book Antiqua" w:eastAsia="Book Antiqua" w:hAnsi="Book Antiqua" w:cs="Book Antiqua"/>
          <w:color w:val="000000"/>
          <w:sz w:val="23"/>
          <w:szCs w:val="23"/>
        </w:rPr>
        <w:t>,</w:t>
      </w:r>
      <w:r w:rsidRPr="00352077">
        <w:rPr>
          <w:rFonts w:ascii="Book Antiqua" w:eastAsia="Book Antiqua" w:hAnsi="Book Antiqua" w:cs="Book Antiqua"/>
          <w:color w:val="000000"/>
          <w:sz w:val="23"/>
          <w:szCs w:val="23"/>
        </w:rPr>
        <w:t xml:space="preserve"> t</w:t>
      </w:r>
      <w:r w:rsidR="001656CC" w:rsidRPr="00352077">
        <w:rPr>
          <w:rFonts w:ascii="Book Antiqua" w:eastAsia="Book Antiqua" w:hAnsi="Book Antiqua" w:cs="Book Antiqua"/>
          <w:color w:val="000000"/>
          <w:sz w:val="23"/>
          <w:szCs w:val="23"/>
        </w:rPr>
        <w:t xml:space="preserve">he </w:t>
      </w:r>
      <w:r w:rsidR="000217FD" w:rsidRPr="00352077">
        <w:rPr>
          <w:rFonts w:ascii="Book Antiqua" w:eastAsia="Book Antiqua" w:hAnsi="Book Antiqua" w:cs="Book Antiqua"/>
          <w:color w:val="000000"/>
          <w:sz w:val="23"/>
          <w:szCs w:val="23"/>
        </w:rPr>
        <w:t>University</w:t>
      </w:r>
      <w:r w:rsidR="001656CC" w:rsidRPr="00352077">
        <w:rPr>
          <w:rFonts w:ascii="Book Antiqua" w:eastAsia="Book Antiqua" w:hAnsi="Book Antiqua" w:cs="Book Antiqua"/>
          <w:color w:val="000000"/>
          <w:sz w:val="23"/>
          <w:szCs w:val="23"/>
        </w:rPr>
        <w:t xml:space="preserve"> has taken </w:t>
      </w:r>
      <w:r w:rsidR="00E427EB" w:rsidRPr="00352077">
        <w:rPr>
          <w:rFonts w:ascii="Book Antiqua" w:hAnsi="Book Antiqua"/>
          <w:sz w:val="23"/>
          <w:szCs w:val="23"/>
          <w:lang w:val="en-GB"/>
        </w:rPr>
        <w:t>reasonable steps to draw the application to the attention of persons likely to be affected by the injunction sought or with some other genuine and proper interest in the application</w:t>
      </w:r>
      <w:r w:rsidR="006C7C64">
        <w:rPr>
          <w:rFonts w:ascii="Book Antiqua" w:hAnsi="Book Antiqua"/>
          <w:sz w:val="23"/>
          <w:szCs w:val="23"/>
          <w:lang w:val="en-GB"/>
        </w:rPr>
        <w:t>.</w:t>
      </w:r>
      <w:r w:rsidR="00B56821" w:rsidRPr="00352077">
        <w:rPr>
          <w:rFonts w:ascii="Book Antiqua" w:eastAsia="Book Antiqua" w:hAnsi="Book Antiqua" w:cs="Book Antiqua"/>
          <w:color w:val="000000"/>
          <w:sz w:val="23"/>
          <w:szCs w:val="23"/>
        </w:rPr>
        <w:t xml:space="preserve"> The proposed steps for notification </w:t>
      </w:r>
      <w:r w:rsidR="00EC0D5C">
        <w:rPr>
          <w:rFonts w:ascii="Book Antiqua" w:eastAsia="Book Antiqua" w:hAnsi="Book Antiqua" w:cs="Book Antiqua"/>
          <w:color w:val="000000"/>
          <w:sz w:val="23"/>
          <w:szCs w:val="23"/>
        </w:rPr>
        <w:t xml:space="preserve">of any order granted at the hearing </w:t>
      </w:r>
      <w:r w:rsidR="001D55E3">
        <w:rPr>
          <w:rFonts w:ascii="Book Antiqua" w:eastAsia="Book Antiqua" w:hAnsi="Book Antiqua" w:cs="Book Antiqua"/>
          <w:color w:val="000000"/>
          <w:sz w:val="23"/>
          <w:szCs w:val="23"/>
        </w:rPr>
        <w:t>are</w:t>
      </w:r>
      <w:r w:rsidR="00EC0D5C">
        <w:rPr>
          <w:rFonts w:ascii="Book Antiqua" w:eastAsia="Book Antiqua" w:hAnsi="Book Antiqua" w:cs="Book Antiqua"/>
          <w:color w:val="000000"/>
          <w:sz w:val="23"/>
          <w:szCs w:val="23"/>
        </w:rPr>
        <w:t xml:space="preserve"> set out in </w:t>
      </w:r>
      <w:r w:rsidR="00F65AC2">
        <w:rPr>
          <w:rFonts w:ascii="Book Antiqua" w:eastAsia="Book Antiqua" w:hAnsi="Book Antiqua" w:cs="Book Antiqua"/>
          <w:color w:val="000000"/>
          <w:sz w:val="23"/>
          <w:szCs w:val="23"/>
        </w:rPr>
        <w:t xml:space="preserve">the </w:t>
      </w:r>
      <w:r w:rsidR="00EC0D5C">
        <w:rPr>
          <w:rFonts w:ascii="Book Antiqua" w:eastAsia="Book Antiqua" w:hAnsi="Book Antiqua" w:cs="Book Antiqua"/>
          <w:color w:val="000000"/>
          <w:sz w:val="23"/>
          <w:szCs w:val="23"/>
        </w:rPr>
        <w:t>Draft Order</w:t>
      </w:r>
      <w:r w:rsidR="00F65AC2">
        <w:rPr>
          <w:rFonts w:ascii="Book Antiqua" w:eastAsia="Book Antiqua" w:hAnsi="Book Antiqua" w:cs="Book Antiqua"/>
          <w:color w:val="000000"/>
          <w:sz w:val="23"/>
          <w:szCs w:val="23"/>
        </w:rPr>
        <w:t xml:space="preserve">, as are </w:t>
      </w:r>
      <w:r w:rsidR="00EC0D5C">
        <w:rPr>
          <w:rFonts w:ascii="Book Antiqua" w:eastAsia="Book Antiqua" w:hAnsi="Book Antiqua" w:cs="Book Antiqua"/>
          <w:color w:val="000000"/>
          <w:sz w:val="23"/>
          <w:szCs w:val="23"/>
        </w:rPr>
        <w:t>the proposed steps for notification of other</w:t>
      </w:r>
      <w:r w:rsidR="00F65AC2">
        <w:rPr>
          <w:rFonts w:ascii="Book Antiqua" w:eastAsia="Book Antiqua" w:hAnsi="Book Antiqua" w:cs="Book Antiqua"/>
          <w:color w:val="000000"/>
          <w:sz w:val="23"/>
          <w:szCs w:val="23"/>
        </w:rPr>
        <w:t xml:space="preserve"> applications and</w:t>
      </w:r>
      <w:r w:rsidR="00EC0D5C">
        <w:rPr>
          <w:rFonts w:ascii="Book Antiqua" w:eastAsia="Book Antiqua" w:hAnsi="Book Antiqua" w:cs="Book Antiqua"/>
          <w:color w:val="000000"/>
          <w:sz w:val="23"/>
          <w:szCs w:val="23"/>
        </w:rPr>
        <w:t xml:space="preserve"> documents [</w:t>
      </w:r>
      <w:r w:rsidR="002D5344">
        <w:rPr>
          <w:rFonts w:ascii="Book Antiqua" w:eastAsia="Book Antiqua" w:hAnsi="Book Antiqua" w:cs="Book Antiqua"/>
          <w:b/>
          <w:bCs/>
          <w:color w:val="000000"/>
          <w:sz w:val="23"/>
          <w:szCs w:val="23"/>
        </w:rPr>
        <w:t>SB/4/668</w:t>
      </w:r>
      <w:r w:rsidR="00933FF0">
        <w:rPr>
          <w:rFonts w:ascii="Book Antiqua" w:eastAsia="Book Antiqua" w:hAnsi="Book Antiqua" w:cs="Book Antiqua"/>
          <w:b/>
          <w:bCs/>
          <w:color w:val="000000"/>
          <w:sz w:val="23"/>
          <w:szCs w:val="23"/>
        </w:rPr>
        <w:t>(</w:t>
      </w:r>
      <w:r w:rsidR="00455750">
        <w:rPr>
          <w:rFonts w:ascii="Book Antiqua" w:eastAsia="Book Antiqua" w:hAnsi="Book Antiqua" w:cs="Book Antiqua"/>
          <w:b/>
          <w:bCs/>
          <w:color w:val="000000"/>
          <w:sz w:val="23"/>
          <w:szCs w:val="23"/>
        </w:rPr>
        <w:t>PDF30</w:t>
      </w:r>
      <w:r w:rsidR="00933FF0">
        <w:rPr>
          <w:rFonts w:ascii="Book Antiqua" w:eastAsia="Book Antiqua" w:hAnsi="Book Antiqua" w:cs="Book Antiqua"/>
          <w:b/>
          <w:bCs/>
          <w:color w:val="000000"/>
          <w:sz w:val="23"/>
          <w:szCs w:val="23"/>
        </w:rPr>
        <w:t>)</w:t>
      </w:r>
      <w:r w:rsidR="00455750">
        <w:rPr>
          <w:rFonts w:ascii="Book Antiqua" w:eastAsia="Book Antiqua" w:hAnsi="Book Antiqua" w:cs="Book Antiqua"/>
          <w:b/>
          <w:bCs/>
          <w:color w:val="000000"/>
          <w:sz w:val="23"/>
          <w:szCs w:val="23"/>
        </w:rPr>
        <w:t>]</w:t>
      </w:r>
      <w:r w:rsidR="00B56821" w:rsidRPr="00352077">
        <w:rPr>
          <w:rFonts w:ascii="Book Antiqua" w:eastAsia="Book Antiqua" w:hAnsi="Book Antiqua" w:cs="Book Antiqua"/>
          <w:color w:val="000000"/>
          <w:sz w:val="23"/>
          <w:szCs w:val="23"/>
        </w:rPr>
        <w:t xml:space="preserve">. </w:t>
      </w:r>
    </w:p>
    <w:p w14:paraId="0361F5B4" w14:textId="19363AF0" w:rsidR="00352077" w:rsidRPr="00352077" w:rsidRDefault="00352077" w:rsidP="00624586">
      <w:pPr>
        <w:pStyle w:val="ListParagraph"/>
        <w:numPr>
          <w:ilvl w:val="0"/>
          <w:numId w:val="3"/>
        </w:numPr>
        <w:tabs>
          <w:tab w:val="left" w:pos="1701"/>
        </w:tabs>
        <w:spacing w:line="360" w:lineRule="auto"/>
        <w:ind w:left="567" w:hanging="567"/>
        <w:contextualSpacing w:val="0"/>
        <w:jc w:val="both"/>
        <w:rPr>
          <w:rFonts w:ascii="Book Antiqua" w:hAnsi="Book Antiqua"/>
          <w:sz w:val="23"/>
          <w:szCs w:val="23"/>
        </w:rPr>
      </w:pPr>
      <w:r>
        <w:rPr>
          <w:rFonts w:ascii="Book Antiqua" w:eastAsia="Book Antiqua" w:hAnsi="Book Antiqua" w:cs="Book Antiqua"/>
          <w:b/>
          <w:bCs/>
          <w:color w:val="000000"/>
          <w:sz w:val="23"/>
          <w:szCs w:val="23"/>
        </w:rPr>
        <w:t>Fourteenthly</w:t>
      </w:r>
      <w:r w:rsidRPr="00352077">
        <w:rPr>
          <w:rFonts w:ascii="Book Antiqua" w:eastAsia="Book Antiqua" w:hAnsi="Book Antiqua" w:cs="Book Antiqua"/>
          <w:color w:val="000000"/>
          <w:sz w:val="23"/>
          <w:szCs w:val="23"/>
        </w:rPr>
        <w:t>, t</w:t>
      </w:r>
      <w:r w:rsidR="00B56821" w:rsidRPr="00352077">
        <w:rPr>
          <w:rFonts w:ascii="Book Antiqua" w:eastAsia="Book Antiqua" w:hAnsi="Book Antiqua" w:cs="Book Antiqua"/>
          <w:color w:val="000000"/>
          <w:sz w:val="23"/>
          <w:szCs w:val="23"/>
        </w:rPr>
        <w:t>he draft Order includes provision for any person to apply to set aside or vary the injunction on short notice</w:t>
      </w:r>
      <w:r w:rsidR="00B21754">
        <w:rPr>
          <w:rFonts w:ascii="Book Antiqua" w:eastAsia="Book Antiqua" w:hAnsi="Book Antiqua" w:cs="Book Antiqua"/>
          <w:color w:val="000000"/>
          <w:sz w:val="23"/>
          <w:szCs w:val="23"/>
        </w:rPr>
        <w:t xml:space="preserve"> </w:t>
      </w:r>
      <w:r w:rsidR="00B21754">
        <w:rPr>
          <w:rFonts w:ascii="Book Antiqua" w:eastAsia="Book Antiqua" w:hAnsi="Book Antiqua" w:cs="Book Antiqua"/>
          <w:b/>
          <w:bCs/>
          <w:color w:val="000000"/>
          <w:sz w:val="23"/>
          <w:szCs w:val="23"/>
        </w:rPr>
        <w:t>[</w:t>
      </w:r>
      <w:r w:rsidR="00211D7C">
        <w:rPr>
          <w:rFonts w:ascii="Book Antiqua" w:eastAsia="Book Antiqua" w:hAnsi="Book Antiqua" w:cs="Book Antiqua"/>
          <w:b/>
          <w:bCs/>
          <w:color w:val="000000"/>
          <w:sz w:val="23"/>
          <w:szCs w:val="23"/>
        </w:rPr>
        <w:t>HB</w:t>
      </w:r>
      <w:r w:rsidR="00B21754">
        <w:rPr>
          <w:rFonts w:ascii="Book Antiqua" w:eastAsia="Book Antiqua" w:hAnsi="Book Antiqua" w:cs="Book Antiqua"/>
          <w:b/>
          <w:bCs/>
          <w:color w:val="000000"/>
          <w:sz w:val="23"/>
          <w:szCs w:val="23"/>
        </w:rPr>
        <w:t>/</w:t>
      </w:r>
      <w:r w:rsidR="00455750">
        <w:rPr>
          <w:rFonts w:ascii="Book Antiqua" w:eastAsia="Book Antiqua" w:hAnsi="Book Antiqua" w:cs="Book Antiqua"/>
          <w:b/>
          <w:bCs/>
          <w:color w:val="000000"/>
          <w:sz w:val="23"/>
          <w:szCs w:val="23"/>
        </w:rPr>
        <w:t>4/</w:t>
      </w:r>
      <w:r w:rsidR="00B21754">
        <w:rPr>
          <w:rFonts w:ascii="Book Antiqua" w:eastAsia="Book Antiqua" w:hAnsi="Book Antiqua" w:cs="Book Antiqua"/>
          <w:b/>
          <w:bCs/>
          <w:color w:val="000000"/>
          <w:sz w:val="23"/>
          <w:szCs w:val="23"/>
        </w:rPr>
        <w:t>27</w:t>
      </w:r>
      <w:r w:rsidR="00933FF0">
        <w:rPr>
          <w:rFonts w:ascii="Book Antiqua" w:eastAsia="Book Antiqua" w:hAnsi="Book Antiqua" w:cs="Book Antiqua"/>
          <w:b/>
          <w:bCs/>
          <w:color w:val="000000"/>
          <w:sz w:val="23"/>
          <w:szCs w:val="23"/>
        </w:rPr>
        <w:t>(</w:t>
      </w:r>
      <w:r w:rsidR="00455750">
        <w:rPr>
          <w:rFonts w:ascii="Book Antiqua" w:eastAsia="Book Antiqua" w:hAnsi="Book Antiqua" w:cs="Book Antiqua"/>
          <w:b/>
          <w:bCs/>
          <w:color w:val="000000"/>
          <w:sz w:val="23"/>
          <w:szCs w:val="23"/>
        </w:rPr>
        <w:t>PDF29</w:t>
      </w:r>
      <w:r w:rsidR="00933FF0">
        <w:rPr>
          <w:rFonts w:ascii="Book Antiqua" w:eastAsia="Book Antiqua" w:hAnsi="Book Antiqua" w:cs="Book Antiqua"/>
          <w:b/>
          <w:bCs/>
          <w:color w:val="000000"/>
          <w:sz w:val="23"/>
          <w:szCs w:val="23"/>
        </w:rPr>
        <w:t>)</w:t>
      </w:r>
      <w:r w:rsidR="00455750">
        <w:rPr>
          <w:rFonts w:ascii="Book Antiqua" w:eastAsia="Book Antiqua" w:hAnsi="Book Antiqua" w:cs="Book Antiqua"/>
          <w:b/>
          <w:bCs/>
          <w:color w:val="000000"/>
          <w:sz w:val="23"/>
          <w:szCs w:val="23"/>
        </w:rPr>
        <w:t>]</w:t>
      </w:r>
      <w:r w:rsidR="00B56821" w:rsidRPr="00352077">
        <w:rPr>
          <w:rFonts w:ascii="Book Antiqua" w:eastAsia="Book Antiqua" w:hAnsi="Book Antiqua" w:cs="Book Antiqua"/>
          <w:color w:val="000000"/>
          <w:sz w:val="23"/>
          <w:szCs w:val="23"/>
        </w:rPr>
        <w:t xml:space="preserve">. </w:t>
      </w:r>
    </w:p>
    <w:p w14:paraId="6E1D3C7A" w14:textId="06EA5561" w:rsidR="00B56821" w:rsidRPr="00352077" w:rsidRDefault="00352077" w:rsidP="00624586">
      <w:pPr>
        <w:pStyle w:val="ListParagraph"/>
        <w:numPr>
          <w:ilvl w:val="0"/>
          <w:numId w:val="3"/>
        </w:numPr>
        <w:tabs>
          <w:tab w:val="left" w:pos="1701"/>
        </w:tabs>
        <w:spacing w:line="360" w:lineRule="auto"/>
        <w:ind w:left="567" w:hanging="567"/>
        <w:contextualSpacing w:val="0"/>
        <w:jc w:val="both"/>
        <w:rPr>
          <w:rFonts w:ascii="Book Antiqua" w:hAnsi="Book Antiqua"/>
          <w:sz w:val="23"/>
          <w:szCs w:val="23"/>
        </w:rPr>
      </w:pPr>
      <w:r>
        <w:rPr>
          <w:rFonts w:ascii="Book Antiqua" w:eastAsia="Book Antiqua" w:hAnsi="Book Antiqua" w:cs="Book Antiqua"/>
          <w:b/>
          <w:bCs/>
          <w:color w:val="000000"/>
          <w:sz w:val="23"/>
          <w:szCs w:val="23"/>
        </w:rPr>
        <w:t>Fifteenthly</w:t>
      </w:r>
      <w:r w:rsidRPr="00352077">
        <w:rPr>
          <w:rFonts w:ascii="Book Antiqua" w:eastAsia="Book Antiqua" w:hAnsi="Book Antiqua" w:cs="Book Antiqua"/>
          <w:color w:val="000000"/>
          <w:sz w:val="23"/>
          <w:szCs w:val="23"/>
        </w:rPr>
        <w:t xml:space="preserve">, </w:t>
      </w:r>
      <w:r w:rsidR="001D55E3">
        <w:rPr>
          <w:rFonts w:ascii="Book Antiqua" w:eastAsia="Book Antiqua" w:hAnsi="Book Antiqua" w:cs="Book Antiqua"/>
          <w:color w:val="000000"/>
          <w:sz w:val="23"/>
          <w:szCs w:val="23"/>
        </w:rPr>
        <w:t>as a short interim injunction of approximately 4 months</w:t>
      </w:r>
      <w:r w:rsidR="0018535B">
        <w:rPr>
          <w:rFonts w:ascii="Book Antiqua" w:eastAsia="Book Antiqua" w:hAnsi="Book Antiqua" w:cs="Book Antiqua"/>
          <w:color w:val="000000"/>
          <w:sz w:val="23"/>
          <w:szCs w:val="23"/>
        </w:rPr>
        <w:t xml:space="preserve"> only</w:t>
      </w:r>
      <w:r w:rsidR="001D55E3">
        <w:rPr>
          <w:rFonts w:ascii="Book Antiqua" w:eastAsia="Book Antiqua" w:hAnsi="Book Antiqua" w:cs="Book Antiqua"/>
          <w:color w:val="000000"/>
          <w:sz w:val="23"/>
          <w:szCs w:val="23"/>
        </w:rPr>
        <w:t xml:space="preserve"> is sought, </w:t>
      </w:r>
      <w:r w:rsidR="003F6DC3">
        <w:rPr>
          <w:rFonts w:ascii="Book Antiqua" w:eastAsia="Book Antiqua" w:hAnsi="Book Antiqua" w:cs="Book Antiqua"/>
          <w:color w:val="000000"/>
          <w:sz w:val="23"/>
          <w:szCs w:val="23"/>
        </w:rPr>
        <w:t xml:space="preserve">the </w:t>
      </w:r>
      <w:r w:rsidR="001D55E3">
        <w:rPr>
          <w:rFonts w:ascii="Book Antiqua" w:eastAsia="Book Antiqua" w:hAnsi="Book Antiqua" w:cs="Book Antiqua"/>
          <w:color w:val="000000"/>
          <w:sz w:val="23"/>
          <w:szCs w:val="23"/>
        </w:rPr>
        <w:t>Draft Order contains no provision for</w:t>
      </w:r>
      <w:r w:rsidR="0055657B" w:rsidRPr="00352077">
        <w:rPr>
          <w:rFonts w:ascii="Book Antiqua" w:eastAsia="Book Antiqua" w:hAnsi="Book Antiqua" w:cs="Book Antiqua"/>
          <w:color w:val="000000"/>
          <w:sz w:val="23"/>
          <w:szCs w:val="23"/>
        </w:rPr>
        <w:t xml:space="preserve"> review</w:t>
      </w:r>
      <w:r w:rsidR="0018535B">
        <w:rPr>
          <w:rFonts w:ascii="Book Antiqua" w:eastAsia="Book Antiqua" w:hAnsi="Book Antiqua" w:cs="Book Antiqua"/>
          <w:color w:val="000000"/>
          <w:sz w:val="23"/>
          <w:szCs w:val="23"/>
        </w:rPr>
        <w:t xml:space="preserve"> during this period</w:t>
      </w:r>
      <w:r w:rsidR="0055657B" w:rsidRPr="00352077">
        <w:rPr>
          <w:rFonts w:ascii="Book Antiqua" w:eastAsia="Book Antiqua" w:hAnsi="Book Antiqua" w:cs="Book Antiqua"/>
          <w:color w:val="000000"/>
          <w:sz w:val="23"/>
          <w:szCs w:val="23"/>
        </w:rPr>
        <w:t xml:space="preserve">. </w:t>
      </w:r>
    </w:p>
    <w:p w14:paraId="059FF763" w14:textId="77777777" w:rsidR="00B56821" w:rsidRPr="00352077" w:rsidRDefault="00B56821" w:rsidP="00B56821">
      <w:pPr>
        <w:pStyle w:val="ListParagraph"/>
        <w:tabs>
          <w:tab w:val="left" w:pos="1701"/>
        </w:tabs>
        <w:spacing w:line="360" w:lineRule="auto"/>
        <w:ind w:left="1701"/>
        <w:contextualSpacing w:val="0"/>
        <w:jc w:val="both"/>
        <w:rPr>
          <w:rFonts w:ascii="Book Antiqua" w:hAnsi="Book Antiqua"/>
          <w:sz w:val="6"/>
          <w:szCs w:val="6"/>
        </w:rPr>
      </w:pPr>
    </w:p>
    <w:p w14:paraId="79C6E85F" w14:textId="3DAA2224" w:rsidR="00896920" w:rsidRPr="00C3428A" w:rsidRDefault="00896920" w:rsidP="004B1355">
      <w:pPr>
        <w:pStyle w:val="ListParagraph"/>
        <w:numPr>
          <w:ilvl w:val="0"/>
          <w:numId w:val="2"/>
        </w:numPr>
        <w:spacing w:line="360" w:lineRule="auto"/>
        <w:ind w:left="567" w:hanging="567"/>
        <w:contextualSpacing w:val="0"/>
        <w:jc w:val="both"/>
        <w:rPr>
          <w:rFonts w:ascii="Book Antiqua" w:hAnsi="Book Antiqua"/>
          <w:b/>
          <w:bCs/>
          <w:sz w:val="23"/>
          <w:szCs w:val="23"/>
          <w:u w:val="single"/>
        </w:rPr>
      </w:pPr>
      <w:r w:rsidRPr="00C3428A">
        <w:rPr>
          <w:rFonts w:ascii="Book Antiqua" w:hAnsi="Book Antiqua"/>
          <w:b/>
          <w:bCs/>
          <w:sz w:val="23"/>
          <w:szCs w:val="23"/>
          <w:u w:val="single"/>
        </w:rPr>
        <w:t>CROSS-UNDERTAKING IN DAMAGES</w:t>
      </w:r>
    </w:p>
    <w:p w14:paraId="2EE0EDE8" w14:textId="52F94EF3" w:rsidR="00896920" w:rsidRPr="00C3428A" w:rsidRDefault="004B1355" w:rsidP="00624586">
      <w:pPr>
        <w:pStyle w:val="ListParagraph"/>
        <w:numPr>
          <w:ilvl w:val="0"/>
          <w:numId w:val="3"/>
        </w:numPr>
        <w:spacing w:line="360" w:lineRule="auto"/>
        <w:ind w:left="567" w:hanging="567"/>
        <w:contextualSpacing w:val="0"/>
        <w:jc w:val="both"/>
        <w:rPr>
          <w:rFonts w:ascii="Book Antiqua" w:hAnsi="Book Antiqua"/>
          <w:sz w:val="23"/>
          <w:szCs w:val="23"/>
        </w:rPr>
      </w:pPr>
      <w:r w:rsidRPr="00C3428A">
        <w:rPr>
          <w:rFonts w:ascii="Book Antiqua" w:hAnsi="Book Antiqua"/>
          <w:sz w:val="23"/>
          <w:szCs w:val="23"/>
        </w:rPr>
        <w:t xml:space="preserve">The </w:t>
      </w:r>
      <w:r w:rsidR="000217FD">
        <w:rPr>
          <w:rFonts w:ascii="Book Antiqua" w:hAnsi="Book Antiqua"/>
          <w:sz w:val="23"/>
          <w:szCs w:val="23"/>
        </w:rPr>
        <w:t>University</w:t>
      </w:r>
      <w:r w:rsidRPr="00C3428A">
        <w:rPr>
          <w:rFonts w:ascii="Book Antiqua" w:hAnsi="Book Antiqua"/>
          <w:sz w:val="23"/>
          <w:szCs w:val="23"/>
        </w:rPr>
        <w:t xml:space="preserve"> </w:t>
      </w:r>
      <w:r w:rsidR="00AC556A" w:rsidRPr="00C3428A">
        <w:rPr>
          <w:rFonts w:ascii="Book Antiqua" w:hAnsi="Book Antiqua"/>
          <w:sz w:val="23"/>
          <w:szCs w:val="23"/>
        </w:rPr>
        <w:t>is willing and able, if necessary, to provide a cross-undertaking in damages: Rampton</w:t>
      </w:r>
      <w:r w:rsidR="00805FCA" w:rsidRPr="00C3428A">
        <w:rPr>
          <w:rFonts w:ascii="Book Antiqua" w:hAnsi="Book Antiqua"/>
          <w:sz w:val="23"/>
          <w:szCs w:val="23"/>
        </w:rPr>
        <w:t xml:space="preserve"> 1</w:t>
      </w:r>
      <w:r w:rsidR="00AC556A" w:rsidRPr="00C3428A">
        <w:rPr>
          <w:rFonts w:ascii="Book Antiqua" w:hAnsi="Book Antiqua"/>
          <w:sz w:val="23"/>
          <w:szCs w:val="23"/>
        </w:rPr>
        <w:t>, §</w:t>
      </w:r>
      <w:r w:rsidR="00805FCA" w:rsidRPr="00C3428A">
        <w:rPr>
          <w:rFonts w:ascii="Book Antiqua" w:hAnsi="Book Antiqua"/>
          <w:sz w:val="23"/>
          <w:szCs w:val="23"/>
        </w:rPr>
        <w:t>§167-168</w:t>
      </w:r>
      <w:r w:rsidR="00DF7055">
        <w:rPr>
          <w:rFonts w:ascii="Book Antiqua" w:hAnsi="Book Antiqua"/>
          <w:sz w:val="23"/>
          <w:szCs w:val="23"/>
        </w:rPr>
        <w:t xml:space="preserve"> </w:t>
      </w:r>
      <w:r w:rsidR="00DF7055">
        <w:rPr>
          <w:rFonts w:ascii="Book Antiqua" w:hAnsi="Book Antiqua"/>
          <w:b/>
          <w:bCs/>
          <w:sz w:val="23"/>
          <w:szCs w:val="23"/>
        </w:rPr>
        <w:t>[</w:t>
      </w:r>
      <w:r w:rsidR="00211D7C">
        <w:rPr>
          <w:rFonts w:ascii="Book Antiqua" w:hAnsi="Book Antiqua"/>
          <w:b/>
          <w:bCs/>
          <w:sz w:val="23"/>
          <w:szCs w:val="23"/>
        </w:rPr>
        <w:t>HB</w:t>
      </w:r>
      <w:r w:rsidR="00DF7055">
        <w:rPr>
          <w:rFonts w:ascii="Book Antiqua" w:hAnsi="Book Antiqua"/>
          <w:b/>
          <w:bCs/>
          <w:sz w:val="23"/>
          <w:szCs w:val="23"/>
        </w:rPr>
        <w:t>/</w:t>
      </w:r>
      <w:r w:rsidR="00455750">
        <w:rPr>
          <w:rFonts w:ascii="Book Antiqua" w:hAnsi="Book Antiqua"/>
          <w:b/>
          <w:bCs/>
          <w:sz w:val="23"/>
          <w:szCs w:val="23"/>
        </w:rPr>
        <w:t>6/</w:t>
      </w:r>
      <w:r w:rsidR="00DF7055">
        <w:rPr>
          <w:rFonts w:ascii="Book Antiqua" w:hAnsi="Book Antiqua"/>
          <w:b/>
          <w:bCs/>
          <w:sz w:val="23"/>
          <w:szCs w:val="23"/>
        </w:rPr>
        <w:t>83</w:t>
      </w:r>
      <w:r w:rsidR="00933FF0">
        <w:rPr>
          <w:rFonts w:ascii="Book Antiqua" w:hAnsi="Book Antiqua"/>
          <w:b/>
          <w:bCs/>
          <w:sz w:val="23"/>
          <w:szCs w:val="23"/>
        </w:rPr>
        <w:t>(</w:t>
      </w:r>
      <w:r w:rsidR="00455750">
        <w:rPr>
          <w:rFonts w:ascii="Book Antiqua" w:hAnsi="Book Antiqua"/>
          <w:b/>
          <w:bCs/>
          <w:sz w:val="23"/>
          <w:szCs w:val="23"/>
        </w:rPr>
        <w:t>PDF85</w:t>
      </w:r>
      <w:r w:rsidR="00933FF0">
        <w:rPr>
          <w:rFonts w:ascii="Book Antiqua" w:hAnsi="Book Antiqua"/>
          <w:b/>
          <w:bCs/>
          <w:sz w:val="23"/>
          <w:szCs w:val="23"/>
        </w:rPr>
        <w:t>)</w:t>
      </w:r>
      <w:r w:rsidR="00455750">
        <w:rPr>
          <w:rFonts w:ascii="Book Antiqua" w:hAnsi="Book Antiqua"/>
          <w:b/>
          <w:bCs/>
          <w:sz w:val="23"/>
          <w:szCs w:val="23"/>
        </w:rPr>
        <w:t>]</w:t>
      </w:r>
      <w:r w:rsidR="00AC556A" w:rsidRPr="00C3428A">
        <w:rPr>
          <w:rFonts w:ascii="Book Antiqua" w:hAnsi="Book Antiqua"/>
          <w:sz w:val="23"/>
          <w:szCs w:val="23"/>
        </w:rPr>
        <w:t xml:space="preserve">. </w:t>
      </w:r>
    </w:p>
    <w:p w14:paraId="562A5785" w14:textId="77777777" w:rsidR="00896920" w:rsidRPr="001846B3" w:rsidRDefault="00896920" w:rsidP="004B1355">
      <w:pPr>
        <w:spacing w:line="360" w:lineRule="auto"/>
        <w:jc w:val="both"/>
        <w:rPr>
          <w:rFonts w:ascii="Book Antiqua" w:hAnsi="Book Antiqua"/>
          <w:sz w:val="6"/>
          <w:szCs w:val="6"/>
        </w:rPr>
      </w:pPr>
    </w:p>
    <w:p w14:paraId="299B9E05" w14:textId="34BEF3D7" w:rsidR="00896920" w:rsidRPr="00C3428A" w:rsidRDefault="00896920" w:rsidP="004B1355">
      <w:pPr>
        <w:pStyle w:val="ListParagraph"/>
        <w:numPr>
          <w:ilvl w:val="0"/>
          <w:numId w:val="2"/>
        </w:numPr>
        <w:spacing w:line="360" w:lineRule="auto"/>
        <w:ind w:left="567" w:hanging="567"/>
        <w:contextualSpacing w:val="0"/>
        <w:jc w:val="both"/>
        <w:rPr>
          <w:rFonts w:ascii="Book Antiqua" w:hAnsi="Book Antiqua"/>
          <w:b/>
          <w:bCs/>
          <w:sz w:val="23"/>
          <w:szCs w:val="23"/>
          <w:u w:val="single"/>
        </w:rPr>
      </w:pPr>
      <w:r w:rsidRPr="00C3428A">
        <w:rPr>
          <w:rFonts w:ascii="Book Antiqua" w:hAnsi="Book Antiqua"/>
          <w:b/>
          <w:bCs/>
          <w:sz w:val="23"/>
          <w:szCs w:val="23"/>
          <w:u w:val="single"/>
        </w:rPr>
        <w:t>FULL AND FRANK DISCLOSURE</w:t>
      </w:r>
    </w:p>
    <w:p w14:paraId="2BB0F711" w14:textId="42CFC8A1" w:rsidR="00896920" w:rsidRPr="00C3428A" w:rsidRDefault="00805FCA" w:rsidP="00624586">
      <w:pPr>
        <w:pStyle w:val="ListParagraph"/>
        <w:numPr>
          <w:ilvl w:val="0"/>
          <w:numId w:val="3"/>
        </w:numPr>
        <w:spacing w:line="360" w:lineRule="auto"/>
        <w:ind w:left="567" w:hanging="567"/>
        <w:contextualSpacing w:val="0"/>
        <w:jc w:val="both"/>
        <w:rPr>
          <w:rFonts w:ascii="Book Antiqua" w:hAnsi="Book Antiqua"/>
          <w:sz w:val="23"/>
          <w:szCs w:val="23"/>
        </w:rPr>
      </w:pPr>
      <w:r w:rsidRPr="00C3428A">
        <w:rPr>
          <w:rFonts w:ascii="Book Antiqua" w:hAnsi="Book Antiqua"/>
          <w:sz w:val="23"/>
          <w:szCs w:val="23"/>
        </w:rPr>
        <w:t xml:space="preserve">The University believes it has complied with its duty of full and frank disclosure. </w:t>
      </w:r>
      <w:r w:rsidR="00057FB2" w:rsidRPr="0032025E">
        <w:rPr>
          <w:rFonts w:ascii="Book Antiqua" w:hAnsi="Book Antiqua"/>
          <w:sz w:val="23"/>
          <w:szCs w:val="23"/>
        </w:rPr>
        <w:t xml:space="preserve">In order to support compliance with its duty of full and frank disclosure, in this section the </w:t>
      </w:r>
      <w:r w:rsidR="000217FD">
        <w:rPr>
          <w:rFonts w:ascii="Book Antiqua" w:hAnsi="Book Antiqua"/>
          <w:sz w:val="23"/>
          <w:szCs w:val="23"/>
        </w:rPr>
        <w:t>University</w:t>
      </w:r>
      <w:r w:rsidR="00057FB2" w:rsidRPr="0032025E">
        <w:rPr>
          <w:rFonts w:ascii="Book Antiqua" w:hAnsi="Book Antiqua"/>
          <w:sz w:val="23"/>
          <w:szCs w:val="23"/>
        </w:rPr>
        <w:t xml:space="preserve"> set</w:t>
      </w:r>
      <w:r w:rsidR="00057FB2">
        <w:rPr>
          <w:rFonts w:ascii="Book Antiqua" w:hAnsi="Book Antiqua"/>
          <w:sz w:val="23"/>
          <w:szCs w:val="23"/>
        </w:rPr>
        <w:t>s</w:t>
      </w:r>
      <w:r w:rsidR="00057FB2" w:rsidRPr="0032025E">
        <w:rPr>
          <w:rFonts w:ascii="Book Antiqua" w:hAnsi="Book Antiqua"/>
          <w:sz w:val="23"/>
          <w:szCs w:val="23"/>
        </w:rPr>
        <w:t xml:space="preserve"> out some arguments that could be made against </w:t>
      </w:r>
      <w:r w:rsidR="00057FB2">
        <w:rPr>
          <w:rFonts w:ascii="Book Antiqua" w:hAnsi="Book Antiqua"/>
          <w:sz w:val="23"/>
          <w:szCs w:val="23"/>
        </w:rPr>
        <w:t>its</w:t>
      </w:r>
      <w:r w:rsidR="00057FB2" w:rsidRPr="0032025E">
        <w:rPr>
          <w:rFonts w:ascii="Book Antiqua" w:hAnsi="Book Antiqua"/>
          <w:sz w:val="23"/>
          <w:szCs w:val="23"/>
        </w:rPr>
        <w:t xml:space="preserve"> application for an injunction.</w:t>
      </w:r>
    </w:p>
    <w:p w14:paraId="4F87C6A9" w14:textId="347CCA63" w:rsidR="00CB4984" w:rsidRDefault="00057FB2" w:rsidP="00624586">
      <w:pPr>
        <w:pStyle w:val="ListParagraph"/>
        <w:numPr>
          <w:ilvl w:val="0"/>
          <w:numId w:val="3"/>
        </w:numPr>
        <w:spacing w:line="360" w:lineRule="auto"/>
        <w:ind w:left="567" w:hanging="567"/>
        <w:contextualSpacing w:val="0"/>
        <w:jc w:val="both"/>
        <w:rPr>
          <w:rFonts w:ascii="Book Antiqua" w:hAnsi="Book Antiqua"/>
          <w:sz w:val="23"/>
          <w:szCs w:val="23"/>
        </w:rPr>
      </w:pPr>
      <w:r w:rsidRPr="004602E8">
        <w:rPr>
          <w:rFonts w:ascii="Book Antiqua" w:hAnsi="Book Antiqua"/>
          <w:b/>
          <w:bCs/>
          <w:sz w:val="23"/>
          <w:szCs w:val="23"/>
        </w:rPr>
        <w:t>First</w:t>
      </w:r>
      <w:r w:rsidRPr="004602E8">
        <w:rPr>
          <w:rFonts w:ascii="Book Antiqua" w:hAnsi="Book Antiqua"/>
          <w:sz w:val="23"/>
          <w:szCs w:val="23"/>
        </w:rPr>
        <w:t>, it could be argued that the Defendants n</w:t>
      </w:r>
      <w:r w:rsidR="006E18D8" w:rsidRPr="004602E8">
        <w:rPr>
          <w:rFonts w:ascii="Book Antiqua" w:hAnsi="Book Antiqua"/>
          <w:sz w:val="23"/>
          <w:szCs w:val="23"/>
        </w:rPr>
        <w:t xml:space="preserve">o longer </w:t>
      </w:r>
      <w:r w:rsidRPr="004602E8">
        <w:rPr>
          <w:rFonts w:ascii="Book Antiqua" w:hAnsi="Book Antiqua"/>
          <w:sz w:val="23"/>
          <w:szCs w:val="23"/>
        </w:rPr>
        <w:t xml:space="preserve">pose </w:t>
      </w:r>
      <w:r w:rsidR="006E18D8" w:rsidRPr="004602E8">
        <w:rPr>
          <w:rFonts w:ascii="Book Antiqua" w:hAnsi="Book Antiqua"/>
          <w:sz w:val="23"/>
          <w:szCs w:val="23"/>
        </w:rPr>
        <w:t>a real and imminent risk</w:t>
      </w:r>
      <w:r w:rsidRPr="004602E8">
        <w:rPr>
          <w:rFonts w:ascii="Book Antiqua" w:hAnsi="Book Antiqua"/>
          <w:sz w:val="23"/>
          <w:szCs w:val="23"/>
        </w:rPr>
        <w:t xml:space="preserve"> of </w:t>
      </w:r>
      <w:r w:rsidR="009010E9" w:rsidRPr="004602E8">
        <w:rPr>
          <w:rFonts w:ascii="Book Antiqua" w:hAnsi="Book Antiqua"/>
          <w:sz w:val="23"/>
          <w:szCs w:val="23"/>
        </w:rPr>
        <w:t>carrying out the Direct Action</w:t>
      </w:r>
      <w:r w:rsidR="006E18D8" w:rsidRPr="004602E8">
        <w:rPr>
          <w:rFonts w:ascii="Book Antiqua" w:hAnsi="Book Antiqua"/>
          <w:sz w:val="23"/>
          <w:szCs w:val="23"/>
        </w:rPr>
        <w:t xml:space="preserve"> because</w:t>
      </w:r>
      <w:r w:rsidR="00CB1354" w:rsidRPr="004602E8">
        <w:rPr>
          <w:rFonts w:ascii="Book Antiqua" w:hAnsi="Book Antiqua"/>
          <w:sz w:val="23"/>
          <w:szCs w:val="23"/>
        </w:rPr>
        <w:t xml:space="preserve"> two students from the Cambridge for Palestine Task Force </w:t>
      </w:r>
      <w:r w:rsidR="00A2580F" w:rsidRPr="004602E8">
        <w:rPr>
          <w:rFonts w:ascii="Book Antiqua" w:hAnsi="Book Antiqua"/>
          <w:sz w:val="23"/>
          <w:szCs w:val="23"/>
        </w:rPr>
        <w:t xml:space="preserve">were re-invited to, and </w:t>
      </w:r>
      <w:r w:rsidR="00CB1354" w:rsidRPr="004602E8">
        <w:rPr>
          <w:rFonts w:ascii="Book Antiqua" w:hAnsi="Book Antiqua"/>
          <w:sz w:val="23"/>
          <w:szCs w:val="23"/>
        </w:rPr>
        <w:t>attended</w:t>
      </w:r>
      <w:r w:rsidR="00A2580F" w:rsidRPr="004602E8">
        <w:rPr>
          <w:rFonts w:ascii="Book Antiqua" w:hAnsi="Book Antiqua"/>
          <w:sz w:val="23"/>
          <w:szCs w:val="23"/>
        </w:rPr>
        <w:t>,</w:t>
      </w:r>
      <w:r w:rsidR="00CB1354" w:rsidRPr="004602E8">
        <w:rPr>
          <w:rFonts w:ascii="Book Antiqua" w:hAnsi="Book Antiqua"/>
          <w:sz w:val="23"/>
          <w:szCs w:val="23"/>
        </w:rPr>
        <w:t xml:space="preserve"> the meeting of the University’s </w:t>
      </w:r>
      <w:r w:rsidR="00FF741E" w:rsidRPr="004602E8">
        <w:rPr>
          <w:rFonts w:ascii="Book Antiqua" w:hAnsi="Book Antiqua"/>
          <w:sz w:val="23"/>
          <w:szCs w:val="23"/>
        </w:rPr>
        <w:t>Working Group</w:t>
      </w:r>
      <w:r w:rsidR="00A7376A" w:rsidRPr="004602E8">
        <w:rPr>
          <w:rFonts w:ascii="Book Antiqua" w:hAnsi="Book Antiqua"/>
          <w:sz w:val="23"/>
          <w:szCs w:val="23"/>
        </w:rPr>
        <w:t xml:space="preserve"> on 5 February 2025</w:t>
      </w:r>
      <w:r w:rsidR="00DA7384" w:rsidRPr="004602E8">
        <w:rPr>
          <w:rFonts w:ascii="Book Antiqua" w:hAnsi="Book Antiqua"/>
          <w:sz w:val="23"/>
          <w:szCs w:val="23"/>
        </w:rPr>
        <w:t>: Rampton 1, §97</w:t>
      </w:r>
      <w:r w:rsidR="00DF7055">
        <w:rPr>
          <w:rFonts w:ascii="Book Antiqua" w:hAnsi="Book Antiqua"/>
          <w:sz w:val="23"/>
          <w:szCs w:val="23"/>
        </w:rPr>
        <w:t xml:space="preserve"> </w:t>
      </w:r>
      <w:r w:rsidR="00DF7055">
        <w:rPr>
          <w:rFonts w:ascii="Book Antiqua" w:hAnsi="Book Antiqua"/>
          <w:b/>
          <w:bCs/>
          <w:sz w:val="23"/>
          <w:szCs w:val="23"/>
        </w:rPr>
        <w:t>[</w:t>
      </w:r>
      <w:r w:rsidR="00211D7C">
        <w:rPr>
          <w:rFonts w:ascii="Book Antiqua" w:hAnsi="Book Antiqua"/>
          <w:b/>
          <w:bCs/>
          <w:sz w:val="23"/>
          <w:szCs w:val="23"/>
        </w:rPr>
        <w:t>HB</w:t>
      </w:r>
      <w:r w:rsidR="00DF7055">
        <w:rPr>
          <w:rFonts w:ascii="Book Antiqua" w:hAnsi="Book Antiqua"/>
          <w:b/>
          <w:bCs/>
          <w:sz w:val="23"/>
          <w:szCs w:val="23"/>
        </w:rPr>
        <w:t>/</w:t>
      </w:r>
      <w:r w:rsidR="00455750">
        <w:rPr>
          <w:rFonts w:ascii="Book Antiqua" w:hAnsi="Book Antiqua"/>
          <w:b/>
          <w:bCs/>
          <w:sz w:val="23"/>
          <w:szCs w:val="23"/>
        </w:rPr>
        <w:t>6/</w:t>
      </w:r>
      <w:r w:rsidR="00DF7055">
        <w:rPr>
          <w:rFonts w:ascii="Book Antiqua" w:hAnsi="Book Antiqua"/>
          <w:b/>
          <w:bCs/>
          <w:sz w:val="23"/>
          <w:szCs w:val="23"/>
        </w:rPr>
        <w:t>6</w:t>
      </w:r>
      <w:r w:rsidR="005C5052">
        <w:rPr>
          <w:rFonts w:ascii="Book Antiqua" w:hAnsi="Book Antiqua"/>
          <w:b/>
          <w:bCs/>
          <w:sz w:val="23"/>
          <w:szCs w:val="23"/>
        </w:rPr>
        <w:t>4</w:t>
      </w:r>
      <w:r w:rsidR="00933FF0">
        <w:rPr>
          <w:rFonts w:ascii="Book Antiqua" w:hAnsi="Book Antiqua"/>
          <w:b/>
          <w:bCs/>
          <w:sz w:val="23"/>
          <w:szCs w:val="23"/>
        </w:rPr>
        <w:t>(</w:t>
      </w:r>
      <w:r w:rsidR="00455750">
        <w:rPr>
          <w:rFonts w:ascii="Book Antiqua" w:hAnsi="Book Antiqua"/>
          <w:b/>
          <w:bCs/>
          <w:sz w:val="23"/>
          <w:szCs w:val="23"/>
        </w:rPr>
        <w:t>PDF66</w:t>
      </w:r>
      <w:r w:rsidR="00933FF0">
        <w:rPr>
          <w:rFonts w:ascii="Book Antiqua" w:hAnsi="Book Antiqua"/>
          <w:b/>
          <w:bCs/>
          <w:sz w:val="23"/>
          <w:szCs w:val="23"/>
        </w:rPr>
        <w:t>)</w:t>
      </w:r>
      <w:r w:rsidR="00455750">
        <w:rPr>
          <w:rFonts w:ascii="Book Antiqua" w:hAnsi="Book Antiqua"/>
          <w:b/>
          <w:bCs/>
          <w:sz w:val="23"/>
          <w:szCs w:val="23"/>
        </w:rPr>
        <w:t>]</w:t>
      </w:r>
      <w:r w:rsidR="00A7376A" w:rsidRPr="004602E8">
        <w:rPr>
          <w:rFonts w:ascii="Book Antiqua" w:hAnsi="Book Antiqua"/>
          <w:sz w:val="23"/>
          <w:szCs w:val="23"/>
        </w:rPr>
        <w:t xml:space="preserve">. </w:t>
      </w:r>
    </w:p>
    <w:p w14:paraId="6B0FA742" w14:textId="562E7693" w:rsidR="00137276" w:rsidRDefault="00A7376A" w:rsidP="00624586">
      <w:pPr>
        <w:pStyle w:val="ListParagraph"/>
        <w:numPr>
          <w:ilvl w:val="0"/>
          <w:numId w:val="3"/>
        </w:numPr>
        <w:spacing w:line="360" w:lineRule="auto"/>
        <w:ind w:left="567" w:hanging="567"/>
        <w:contextualSpacing w:val="0"/>
        <w:jc w:val="both"/>
        <w:rPr>
          <w:rFonts w:ascii="Book Antiqua" w:hAnsi="Book Antiqua"/>
          <w:sz w:val="23"/>
          <w:szCs w:val="23"/>
        </w:rPr>
      </w:pPr>
      <w:r w:rsidRPr="004602E8">
        <w:rPr>
          <w:rFonts w:ascii="Book Antiqua" w:hAnsi="Book Antiqua"/>
          <w:sz w:val="23"/>
          <w:szCs w:val="23"/>
        </w:rPr>
        <w:t>The University does not consider that this diminishes the real and imminent risk of Direct Action</w:t>
      </w:r>
      <w:r w:rsidR="00DA7384" w:rsidRPr="004602E8">
        <w:rPr>
          <w:rFonts w:ascii="Book Antiqua" w:hAnsi="Book Antiqua"/>
          <w:sz w:val="23"/>
          <w:szCs w:val="23"/>
        </w:rPr>
        <w:t xml:space="preserve"> in the future</w:t>
      </w:r>
      <w:r w:rsidRPr="004602E8">
        <w:rPr>
          <w:rFonts w:ascii="Book Antiqua" w:hAnsi="Book Antiqua"/>
          <w:sz w:val="23"/>
          <w:szCs w:val="23"/>
        </w:rPr>
        <w:t>. This is because</w:t>
      </w:r>
      <w:r w:rsidR="00DA7384" w:rsidRPr="004602E8">
        <w:rPr>
          <w:rFonts w:ascii="Book Antiqua" w:hAnsi="Book Antiqua"/>
          <w:sz w:val="23"/>
          <w:szCs w:val="23"/>
        </w:rPr>
        <w:t xml:space="preserve">: </w:t>
      </w:r>
    </w:p>
    <w:p w14:paraId="3039659C" w14:textId="6AB270A3" w:rsidR="00CB4984" w:rsidRPr="007E0EB7" w:rsidRDefault="00CB4984" w:rsidP="007E0EB7">
      <w:pPr>
        <w:pStyle w:val="ListParagraph"/>
        <w:numPr>
          <w:ilvl w:val="0"/>
          <w:numId w:val="15"/>
        </w:numPr>
        <w:spacing w:line="360" w:lineRule="auto"/>
        <w:ind w:left="1701" w:hanging="567"/>
        <w:contextualSpacing w:val="0"/>
        <w:jc w:val="both"/>
        <w:rPr>
          <w:rFonts w:ascii="Book Antiqua" w:hAnsi="Book Antiqua"/>
          <w:sz w:val="23"/>
          <w:szCs w:val="23"/>
        </w:rPr>
      </w:pPr>
      <w:r>
        <w:rPr>
          <w:rFonts w:ascii="Book Antiqua" w:hAnsi="Book Antiqua"/>
          <w:sz w:val="23"/>
          <w:szCs w:val="23"/>
        </w:rPr>
        <w:t>T</w:t>
      </w:r>
      <w:r w:rsidR="004602E8" w:rsidRPr="004602E8">
        <w:rPr>
          <w:rFonts w:ascii="Book Antiqua" w:hAnsi="Book Antiqua"/>
          <w:sz w:val="23"/>
          <w:szCs w:val="23"/>
        </w:rPr>
        <w:t xml:space="preserve">here has been no disavowal by Cambridge for Palestine </w:t>
      </w:r>
      <w:r w:rsidR="004602E8">
        <w:rPr>
          <w:rFonts w:ascii="Book Antiqua" w:hAnsi="Book Antiqua"/>
          <w:sz w:val="23"/>
          <w:szCs w:val="23"/>
        </w:rPr>
        <w:t>of an intention to carry out the Direct Action on the Land</w:t>
      </w:r>
      <w:r w:rsidR="001E2B70">
        <w:rPr>
          <w:rFonts w:ascii="Book Antiqua" w:hAnsi="Book Antiqua"/>
          <w:sz w:val="23"/>
          <w:szCs w:val="23"/>
        </w:rPr>
        <w:t>.</w:t>
      </w:r>
      <w:r w:rsidR="00774B30">
        <w:rPr>
          <w:rFonts w:ascii="Book Antiqua" w:hAnsi="Book Antiqua"/>
          <w:sz w:val="23"/>
          <w:szCs w:val="23"/>
        </w:rPr>
        <w:t xml:space="preserve"> I</w:t>
      </w:r>
      <w:r w:rsidR="001E2B70">
        <w:rPr>
          <w:rFonts w:ascii="Book Antiqua" w:hAnsi="Book Antiqua"/>
          <w:sz w:val="23"/>
          <w:szCs w:val="23"/>
        </w:rPr>
        <w:t>ts social media channels continue to make the demands as referred to above</w:t>
      </w:r>
      <w:r>
        <w:rPr>
          <w:rFonts w:ascii="Book Antiqua" w:hAnsi="Book Antiqua"/>
          <w:sz w:val="23"/>
          <w:szCs w:val="23"/>
        </w:rPr>
        <w:t>.</w:t>
      </w:r>
      <w:r w:rsidR="001E2B70">
        <w:rPr>
          <w:rFonts w:ascii="Book Antiqua" w:hAnsi="Book Antiqua"/>
          <w:sz w:val="23"/>
          <w:szCs w:val="23"/>
        </w:rPr>
        <w:t xml:space="preserve"> </w:t>
      </w:r>
    </w:p>
    <w:p w14:paraId="14DA1AE0" w14:textId="0D6DC44A" w:rsidR="00781DB2" w:rsidRDefault="00CB4984" w:rsidP="00CB4984">
      <w:pPr>
        <w:pStyle w:val="ListParagraph"/>
        <w:numPr>
          <w:ilvl w:val="0"/>
          <w:numId w:val="15"/>
        </w:numPr>
        <w:spacing w:line="360" w:lineRule="auto"/>
        <w:ind w:left="1701" w:hanging="567"/>
        <w:contextualSpacing w:val="0"/>
        <w:jc w:val="both"/>
        <w:rPr>
          <w:rFonts w:ascii="Book Antiqua" w:hAnsi="Book Antiqua"/>
          <w:sz w:val="23"/>
          <w:szCs w:val="23"/>
        </w:rPr>
      </w:pPr>
      <w:r>
        <w:rPr>
          <w:rFonts w:ascii="Book Antiqua" w:hAnsi="Book Antiqua"/>
          <w:sz w:val="23"/>
          <w:szCs w:val="23"/>
        </w:rPr>
        <w:t>T</w:t>
      </w:r>
      <w:r w:rsidR="001E2B70">
        <w:rPr>
          <w:rFonts w:ascii="Book Antiqua" w:hAnsi="Book Antiqua"/>
          <w:sz w:val="23"/>
          <w:szCs w:val="23"/>
        </w:rPr>
        <w:t xml:space="preserve">he University has no way of knowing whether </w:t>
      </w:r>
      <w:r w:rsidR="00202D2E">
        <w:rPr>
          <w:rFonts w:ascii="Book Antiqua" w:hAnsi="Book Antiqua"/>
          <w:sz w:val="23"/>
          <w:szCs w:val="23"/>
        </w:rPr>
        <w:t xml:space="preserve">the participation of the two students in the Working Group will impact the inclination of </w:t>
      </w:r>
      <w:r w:rsidR="00137276">
        <w:rPr>
          <w:rFonts w:ascii="Book Antiqua" w:hAnsi="Book Antiqua"/>
          <w:sz w:val="23"/>
          <w:szCs w:val="23"/>
        </w:rPr>
        <w:t xml:space="preserve">other </w:t>
      </w:r>
      <w:r w:rsidR="00B04D95">
        <w:rPr>
          <w:rFonts w:ascii="Book Antiqua" w:hAnsi="Book Antiqua"/>
          <w:sz w:val="23"/>
          <w:szCs w:val="23"/>
        </w:rPr>
        <w:t>Persons Unknown</w:t>
      </w:r>
      <w:r w:rsidR="00137276">
        <w:rPr>
          <w:rFonts w:ascii="Book Antiqua" w:hAnsi="Book Antiqua"/>
          <w:sz w:val="23"/>
          <w:szCs w:val="23"/>
        </w:rPr>
        <w:t xml:space="preserve"> (who may or may not be </w:t>
      </w:r>
      <w:r w:rsidR="00B04D95">
        <w:rPr>
          <w:rFonts w:ascii="Book Antiqua" w:hAnsi="Book Antiqua"/>
          <w:sz w:val="23"/>
          <w:szCs w:val="23"/>
        </w:rPr>
        <w:t>connected with/members</w:t>
      </w:r>
      <w:r w:rsidR="00137276">
        <w:rPr>
          <w:rFonts w:ascii="Book Antiqua" w:hAnsi="Book Antiqua"/>
          <w:sz w:val="23"/>
          <w:szCs w:val="23"/>
        </w:rPr>
        <w:t xml:space="preserve"> of Cambridge for Palestine) </w:t>
      </w:r>
      <w:r w:rsidR="007E0EB7">
        <w:rPr>
          <w:rFonts w:ascii="Book Antiqua" w:hAnsi="Book Antiqua"/>
          <w:sz w:val="23"/>
          <w:szCs w:val="23"/>
        </w:rPr>
        <w:t>to carry out Direct Action on the Land.</w:t>
      </w:r>
      <w:r w:rsidR="003F6DC3">
        <w:rPr>
          <w:rFonts w:ascii="Book Antiqua" w:hAnsi="Book Antiqua"/>
          <w:sz w:val="23"/>
          <w:szCs w:val="23"/>
        </w:rPr>
        <w:t xml:space="preserve"> </w:t>
      </w:r>
      <w:r w:rsidR="00420380">
        <w:rPr>
          <w:rFonts w:ascii="Book Antiqua" w:hAnsi="Book Antiqua"/>
          <w:sz w:val="23"/>
          <w:szCs w:val="23"/>
        </w:rPr>
        <w:t xml:space="preserve">We know from the incident on 4 March 2025, for example, that Palestine Action remain willing to carry out criminal acts notwithstanding </w:t>
      </w:r>
      <w:r w:rsidR="00B56B3A" w:rsidRPr="004602E8">
        <w:rPr>
          <w:rFonts w:ascii="Book Antiqua" w:hAnsi="Book Antiqua"/>
          <w:sz w:val="23"/>
          <w:szCs w:val="23"/>
        </w:rPr>
        <w:t>meeting</w:t>
      </w:r>
      <w:r w:rsidR="00B56B3A">
        <w:rPr>
          <w:rFonts w:ascii="Book Antiqua" w:hAnsi="Book Antiqua"/>
          <w:sz w:val="23"/>
          <w:szCs w:val="23"/>
        </w:rPr>
        <w:t>s</w:t>
      </w:r>
      <w:r w:rsidR="00B56B3A" w:rsidRPr="004602E8">
        <w:rPr>
          <w:rFonts w:ascii="Book Antiqua" w:hAnsi="Book Antiqua"/>
          <w:sz w:val="23"/>
          <w:szCs w:val="23"/>
        </w:rPr>
        <w:t xml:space="preserve"> of the University’s Working Group</w:t>
      </w:r>
      <w:r w:rsidR="00B56B3A">
        <w:rPr>
          <w:rFonts w:ascii="Book Antiqua" w:hAnsi="Book Antiqua"/>
          <w:sz w:val="23"/>
          <w:szCs w:val="23"/>
        </w:rPr>
        <w:t>.</w:t>
      </w:r>
    </w:p>
    <w:p w14:paraId="2B522A0C" w14:textId="395BC814" w:rsidR="001846B3" w:rsidRPr="004602E8" w:rsidRDefault="00781DB2" w:rsidP="00CB4984">
      <w:pPr>
        <w:pStyle w:val="ListParagraph"/>
        <w:numPr>
          <w:ilvl w:val="0"/>
          <w:numId w:val="15"/>
        </w:numPr>
        <w:spacing w:line="360" w:lineRule="auto"/>
        <w:ind w:left="1701" w:hanging="567"/>
        <w:contextualSpacing w:val="0"/>
        <w:jc w:val="both"/>
        <w:rPr>
          <w:rFonts w:ascii="Book Antiqua" w:hAnsi="Book Antiqua"/>
          <w:sz w:val="23"/>
          <w:szCs w:val="23"/>
        </w:rPr>
      </w:pPr>
      <w:r>
        <w:rPr>
          <w:rFonts w:ascii="Book Antiqua" w:hAnsi="Book Antiqua"/>
          <w:sz w:val="23"/>
          <w:szCs w:val="23"/>
        </w:rPr>
        <w:t xml:space="preserve">In any event, </w:t>
      </w:r>
      <w:r w:rsidR="004D2F74">
        <w:rPr>
          <w:rFonts w:ascii="Book Antiqua" w:hAnsi="Book Antiqua"/>
          <w:sz w:val="23"/>
          <w:szCs w:val="23"/>
        </w:rPr>
        <w:t xml:space="preserve">the University is concerned that </w:t>
      </w:r>
      <w:r w:rsidR="00DC1310">
        <w:rPr>
          <w:rFonts w:ascii="Book Antiqua" w:hAnsi="Book Antiqua"/>
          <w:sz w:val="23"/>
          <w:szCs w:val="23"/>
        </w:rPr>
        <w:t xml:space="preserve">if, for whatever reason, </w:t>
      </w:r>
      <w:r w:rsidR="004D2F74">
        <w:rPr>
          <w:rFonts w:ascii="Book Antiqua" w:hAnsi="Book Antiqua"/>
          <w:sz w:val="23"/>
          <w:szCs w:val="23"/>
        </w:rPr>
        <w:t xml:space="preserve">the two students and Cambridge for Palestine Task Force </w:t>
      </w:r>
      <w:r w:rsidR="00165024">
        <w:rPr>
          <w:rFonts w:ascii="Book Antiqua" w:hAnsi="Book Antiqua"/>
          <w:sz w:val="23"/>
          <w:szCs w:val="23"/>
        </w:rPr>
        <w:t xml:space="preserve">subsequently </w:t>
      </w:r>
      <w:r w:rsidR="00A21C12">
        <w:rPr>
          <w:rFonts w:ascii="Book Antiqua" w:hAnsi="Book Antiqua"/>
          <w:sz w:val="23"/>
          <w:szCs w:val="23"/>
        </w:rPr>
        <w:t>become aggrieved with the work of</w:t>
      </w:r>
      <w:r w:rsidR="00165024">
        <w:rPr>
          <w:rFonts w:ascii="Book Antiqua" w:hAnsi="Book Antiqua"/>
          <w:sz w:val="23"/>
          <w:szCs w:val="23"/>
        </w:rPr>
        <w:t xml:space="preserve"> the Working Group</w:t>
      </w:r>
      <w:r w:rsidR="004C212B">
        <w:rPr>
          <w:rFonts w:ascii="Book Antiqua" w:hAnsi="Book Antiqua"/>
          <w:sz w:val="23"/>
          <w:szCs w:val="23"/>
        </w:rPr>
        <w:t>, just as before,</w:t>
      </w:r>
      <w:r w:rsidR="00165024">
        <w:rPr>
          <w:rFonts w:ascii="Book Antiqua" w:hAnsi="Book Antiqua"/>
          <w:sz w:val="23"/>
          <w:szCs w:val="23"/>
        </w:rPr>
        <w:t xml:space="preserve"> </w:t>
      </w:r>
      <w:r w:rsidR="004A3F32">
        <w:rPr>
          <w:rFonts w:ascii="Book Antiqua" w:hAnsi="Book Antiqua"/>
          <w:sz w:val="23"/>
          <w:szCs w:val="23"/>
        </w:rPr>
        <w:t>Persons Unknown</w:t>
      </w:r>
      <w:r w:rsidR="00FA4FA5">
        <w:rPr>
          <w:rFonts w:ascii="Book Antiqua" w:hAnsi="Book Antiqua"/>
          <w:sz w:val="23"/>
          <w:szCs w:val="23"/>
        </w:rPr>
        <w:t xml:space="preserve"> may</w:t>
      </w:r>
      <w:r w:rsidR="004C212B">
        <w:rPr>
          <w:rFonts w:ascii="Book Antiqua" w:hAnsi="Book Antiqua"/>
          <w:sz w:val="23"/>
          <w:szCs w:val="23"/>
        </w:rPr>
        <w:t xml:space="preserve"> decide to carry out Direct Action</w:t>
      </w:r>
      <w:r w:rsidR="00774B30">
        <w:rPr>
          <w:rFonts w:ascii="Book Antiqua" w:hAnsi="Book Antiqua"/>
          <w:sz w:val="23"/>
          <w:szCs w:val="23"/>
        </w:rPr>
        <w:t xml:space="preserve"> in order to put pressure on the University</w:t>
      </w:r>
      <w:r w:rsidR="004C212B">
        <w:rPr>
          <w:rFonts w:ascii="Book Antiqua" w:hAnsi="Book Antiqua"/>
          <w:sz w:val="23"/>
          <w:szCs w:val="23"/>
        </w:rPr>
        <w:t xml:space="preserve">. </w:t>
      </w:r>
      <w:r w:rsidR="00A21C12">
        <w:rPr>
          <w:rFonts w:ascii="Book Antiqua" w:hAnsi="Book Antiqua"/>
          <w:sz w:val="23"/>
          <w:szCs w:val="23"/>
        </w:rPr>
        <w:t xml:space="preserve"> </w:t>
      </w:r>
      <w:r w:rsidR="00165024">
        <w:rPr>
          <w:rFonts w:ascii="Book Antiqua" w:hAnsi="Book Antiqua"/>
          <w:sz w:val="23"/>
          <w:szCs w:val="23"/>
        </w:rPr>
        <w:t xml:space="preserve"> </w:t>
      </w:r>
      <w:r w:rsidR="00DA7384" w:rsidRPr="004602E8">
        <w:rPr>
          <w:rFonts w:ascii="Book Antiqua" w:hAnsi="Book Antiqua"/>
          <w:sz w:val="23"/>
          <w:szCs w:val="23"/>
        </w:rPr>
        <w:t xml:space="preserve"> </w:t>
      </w:r>
      <w:r w:rsidR="00F95CA4" w:rsidRPr="004602E8">
        <w:rPr>
          <w:rFonts w:ascii="Book Antiqua" w:hAnsi="Book Antiqua"/>
          <w:sz w:val="23"/>
          <w:szCs w:val="23"/>
        </w:rPr>
        <w:t xml:space="preserve"> </w:t>
      </w:r>
    </w:p>
    <w:p w14:paraId="00BF6CF2" w14:textId="34CD8A49" w:rsidR="00E67B6A" w:rsidRPr="00137276" w:rsidRDefault="007F4756" w:rsidP="00624586">
      <w:pPr>
        <w:pStyle w:val="ListParagraph"/>
        <w:numPr>
          <w:ilvl w:val="0"/>
          <w:numId w:val="3"/>
        </w:numPr>
        <w:spacing w:line="360" w:lineRule="auto"/>
        <w:ind w:left="567" w:hanging="567"/>
        <w:contextualSpacing w:val="0"/>
        <w:jc w:val="both"/>
        <w:rPr>
          <w:rFonts w:ascii="Book Antiqua" w:hAnsi="Book Antiqua"/>
          <w:sz w:val="23"/>
          <w:szCs w:val="23"/>
        </w:rPr>
      </w:pPr>
      <w:r w:rsidRPr="00137276">
        <w:rPr>
          <w:rFonts w:ascii="Book Antiqua" w:hAnsi="Book Antiqua"/>
          <w:b/>
          <w:bCs/>
          <w:sz w:val="23"/>
          <w:szCs w:val="23"/>
        </w:rPr>
        <w:t>Secondly</w:t>
      </w:r>
      <w:r w:rsidRPr="00137276">
        <w:rPr>
          <w:rFonts w:ascii="Book Antiqua" w:hAnsi="Book Antiqua"/>
          <w:sz w:val="23"/>
          <w:szCs w:val="23"/>
        </w:rPr>
        <w:t xml:space="preserve">, it could be argued that the University has identified </w:t>
      </w:r>
      <w:r w:rsidR="00B56B3A">
        <w:rPr>
          <w:rFonts w:ascii="Book Antiqua" w:hAnsi="Book Antiqua"/>
          <w:sz w:val="23"/>
          <w:szCs w:val="23"/>
        </w:rPr>
        <w:t>two</w:t>
      </w:r>
      <w:r w:rsidRPr="00137276">
        <w:rPr>
          <w:rFonts w:ascii="Book Antiqua" w:hAnsi="Book Antiqua"/>
          <w:sz w:val="23"/>
          <w:szCs w:val="23"/>
        </w:rPr>
        <w:t xml:space="preserve"> individual</w:t>
      </w:r>
      <w:r w:rsidR="00B56B3A">
        <w:rPr>
          <w:rFonts w:ascii="Book Antiqua" w:hAnsi="Book Antiqua"/>
          <w:sz w:val="23"/>
          <w:szCs w:val="23"/>
        </w:rPr>
        <w:t>s</w:t>
      </w:r>
      <w:r w:rsidRPr="00137276">
        <w:rPr>
          <w:rFonts w:ascii="Book Antiqua" w:hAnsi="Book Antiqua"/>
          <w:sz w:val="23"/>
          <w:szCs w:val="23"/>
        </w:rPr>
        <w:t xml:space="preserve"> who participated in </w:t>
      </w:r>
      <w:r w:rsidR="00B56B3A">
        <w:rPr>
          <w:rFonts w:ascii="Book Antiqua" w:hAnsi="Book Antiqua"/>
          <w:sz w:val="23"/>
          <w:szCs w:val="23"/>
        </w:rPr>
        <w:t>previous Direct Action (one in relation to</w:t>
      </w:r>
      <w:r w:rsidRPr="00137276">
        <w:rPr>
          <w:rFonts w:ascii="Book Antiqua" w:hAnsi="Book Antiqua"/>
          <w:sz w:val="23"/>
          <w:szCs w:val="23"/>
        </w:rPr>
        <w:t xml:space="preserve"> Greenwich House </w:t>
      </w:r>
      <w:r w:rsidR="00B56B3A">
        <w:rPr>
          <w:rFonts w:ascii="Book Antiqua" w:hAnsi="Book Antiqua"/>
          <w:sz w:val="23"/>
          <w:szCs w:val="23"/>
        </w:rPr>
        <w:t xml:space="preserve">and one in relation to Senate House Yard) </w:t>
      </w:r>
      <w:r w:rsidRPr="00137276">
        <w:rPr>
          <w:rFonts w:ascii="Book Antiqua" w:hAnsi="Book Antiqua"/>
          <w:sz w:val="23"/>
          <w:szCs w:val="23"/>
        </w:rPr>
        <w:t>and ought to have joined</w:t>
      </w:r>
      <w:r w:rsidR="00775130" w:rsidRPr="00137276">
        <w:rPr>
          <w:rFonts w:ascii="Book Antiqua" w:hAnsi="Book Antiqua"/>
          <w:sz w:val="23"/>
          <w:szCs w:val="23"/>
        </w:rPr>
        <w:t xml:space="preserve"> </w:t>
      </w:r>
      <w:r w:rsidR="00B56B3A">
        <w:rPr>
          <w:rFonts w:ascii="Book Antiqua" w:hAnsi="Book Antiqua"/>
          <w:sz w:val="23"/>
          <w:szCs w:val="23"/>
        </w:rPr>
        <w:t>these</w:t>
      </w:r>
      <w:r w:rsidR="00775130" w:rsidRPr="00137276">
        <w:rPr>
          <w:rFonts w:ascii="Book Antiqua" w:hAnsi="Book Antiqua"/>
          <w:sz w:val="23"/>
          <w:szCs w:val="23"/>
        </w:rPr>
        <w:t xml:space="preserve"> person</w:t>
      </w:r>
      <w:r w:rsidR="00B56B3A">
        <w:rPr>
          <w:rFonts w:ascii="Book Antiqua" w:hAnsi="Book Antiqua"/>
          <w:sz w:val="23"/>
          <w:szCs w:val="23"/>
        </w:rPr>
        <w:t>s</w:t>
      </w:r>
      <w:r w:rsidR="00775130" w:rsidRPr="00137276">
        <w:rPr>
          <w:rFonts w:ascii="Book Antiqua" w:hAnsi="Book Antiqua"/>
          <w:sz w:val="23"/>
          <w:szCs w:val="23"/>
        </w:rPr>
        <w:t xml:space="preserve"> as named defendant</w:t>
      </w:r>
      <w:r w:rsidR="00B56B3A">
        <w:rPr>
          <w:rFonts w:ascii="Book Antiqua" w:hAnsi="Book Antiqua"/>
          <w:sz w:val="23"/>
          <w:szCs w:val="23"/>
        </w:rPr>
        <w:t>s</w:t>
      </w:r>
      <w:r w:rsidR="003D4A41" w:rsidRPr="00137276">
        <w:rPr>
          <w:rFonts w:ascii="Book Antiqua" w:hAnsi="Book Antiqua"/>
          <w:sz w:val="23"/>
          <w:szCs w:val="23"/>
        </w:rPr>
        <w:t xml:space="preserve">. </w:t>
      </w:r>
      <w:r w:rsidR="00B56B3A">
        <w:rPr>
          <w:rFonts w:ascii="Book Antiqua" w:hAnsi="Book Antiqua"/>
          <w:sz w:val="23"/>
          <w:szCs w:val="23"/>
        </w:rPr>
        <w:t>T</w:t>
      </w:r>
      <w:r w:rsidR="00025303" w:rsidRPr="00137276">
        <w:rPr>
          <w:rFonts w:ascii="Book Antiqua" w:hAnsi="Book Antiqua"/>
          <w:sz w:val="23"/>
          <w:szCs w:val="23"/>
        </w:rPr>
        <w:t xml:space="preserve">he reason why the University has </w:t>
      </w:r>
      <w:r w:rsidR="00EE71DB" w:rsidRPr="00137276">
        <w:rPr>
          <w:rFonts w:ascii="Book Antiqua" w:hAnsi="Book Antiqua"/>
          <w:sz w:val="23"/>
          <w:szCs w:val="23"/>
        </w:rPr>
        <w:t>not joined th</w:t>
      </w:r>
      <w:r w:rsidR="00B56B3A">
        <w:rPr>
          <w:rFonts w:ascii="Book Antiqua" w:hAnsi="Book Antiqua"/>
          <w:sz w:val="23"/>
          <w:szCs w:val="23"/>
        </w:rPr>
        <w:t>ese</w:t>
      </w:r>
      <w:r w:rsidR="00EE71DB" w:rsidRPr="00137276">
        <w:rPr>
          <w:rFonts w:ascii="Book Antiqua" w:hAnsi="Book Antiqua"/>
          <w:sz w:val="23"/>
          <w:szCs w:val="23"/>
        </w:rPr>
        <w:t xml:space="preserve"> individual</w:t>
      </w:r>
      <w:r w:rsidR="00B56B3A">
        <w:rPr>
          <w:rFonts w:ascii="Book Antiqua" w:hAnsi="Book Antiqua"/>
          <w:sz w:val="23"/>
          <w:szCs w:val="23"/>
        </w:rPr>
        <w:t>s</w:t>
      </w:r>
      <w:r w:rsidR="00EE71DB" w:rsidRPr="00137276">
        <w:rPr>
          <w:rFonts w:ascii="Book Antiqua" w:hAnsi="Book Antiqua"/>
          <w:sz w:val="23"/>
          <w:szCs w:val="23"/>
        </w:rPr>
        <w:t xml:space="preserve"> is because it has no evidence that the</w:t>
      </w:r>
      <w:r w:rsidR="00B56B3A">
        <w:rPr>
          <w:rFonts w:ascii="Book Antiqua" w:hAnsi="Book Antiqua"/>
          <w:sz w:val="23"/>
          <w:szCs w:val="23"/>
        </w:rPr>
        <w:t xml:space="preserve">y </w:t>
      </w:r>
      <w:r w:rsidR="00EE71DB" w:rsidRPr="00137276">
        <w:rPr>
          <w:rFonts w:ascii="Book Antiqua" w:hAnsi="Book Antiqua"/>
          <w:sz w:val="23"/>
          <w:szCs w:val="23"/>
        </w:rPr>
        <w:t xml:space="preserve">plan to carry out Direct Action on the Land in the </w:t>
      </w:r>
      <w:r w:rsidR="00B56B3A">
        <w:rPr>
          <w:rFonts w:ascii="Book Antiqua" w:hAnsi="Book Antiqua"/>
          <w:sz w:val="23"/>
          <w:szCs w:val="23"/>
        </w:rPr>
        <w:t>future. O</w:t>
      </w:r>
      <w:r w:rsidR="00EE71DB" w:rsidRPr="00137276">
        <w:rPr>
          <w:rFonts w:ascii="Book Antiqua" w:hAnsi="Book Antiqua"/>
          <w:sz w:val="23"/>
          <w:szCs w:val="23"/>
        </w:rPr>
        <w:t xml:space="preserve">n this basis, it would </w:t>
      </w:r>
      <w:r w:rsidR="00B64CA5" w:rsidRPr="00137276">
        <w:rPr>
          <w:rFonts w:ascii="Book Antiqua" w:hAnsi="Book Antiqua"/>
          <w:sz w:val="23"/>
          <w:szCs w:val="23"/>
        </w:rPr>
        <w:t xml:space="preserve">not be appropriate to single </w:t>
      </w:r>
      <w:r w:rsidR="009B1ED0">
        <w:rPr>
          <w:rFonts w:ascii="Book Antiqua" w:hAnsi="Book Antiqua"/>
          <w:sz w:val="23"/>
          <w:szCs w:val="23"/>
        </w:rPr>
        <w:t>them</w:t>
      </w:r>
      <w:r w:rsidR="00B64CA5" w:rsidRPr="00137276">
        <w:rPr>
          <w:rFonts w:ascii="Book Antiqua" w:hAnsi="Book Antiqua"/>
          <w:sz w:val="23"/>
          <w:szCs w:val="23"/>
        </w:rPr>
        <w:t xml:space="preserve"> out in these proceedings: Rampton 1, §133</w:t>
      </w:r>
      <w:r w:rsidR="005C5052">
        <w:rPr>
          <w:rFonts w:ascii="Book Antiqua" w:hAnsi="Book Antiqua"/>
          <w:sz w:val="23"/>
          <w:szCs w:val="23"/>
        </w:rPr>
        <w:t xml:space="preserve"> </w:t>
      </w:r>
      <w:r w:rsidR="005C5052">
        <w:rPr>
          <w:rFonts w:ascii="Book Antiqua" w:hAnsi="Book Antiqua"/>
          <w:b/>
          <w:bCs/>
          <w:sz w:val="23"/>
          <w:szCs w:val="23"/>
        </w:rPr>
        <w:t>[</w:t>
      </w:r>
      <w:r w:rsidR="00211D7C">
        <w:rPr>
          <w:rFonts w:ascii="Book Antiqua" w:hAnsi="Book Antiqua"/>
          <w:b/>
          <w:bCs/>
          <w:sz w:val="23"/>
          <w:szCs w:val="23"/>
        </w:rPr>
        <w:t>HB</w:t>
      </w:r>
      <w:r w:rsidR="00455750">
        <w:rPr>
          <w:rFonts w:ascii="Book Antiqua" w:hAnsi="Book Antiqua"/>
          <w:b/>
          <w:bCs/>
          <w:sz w:val="23"/>
          <w:szCs w:val="23"/>
        </w:rPr>
        <w:t>/6</w:t>
      </w:r>
      <w:r w:rsidR="005C5052">
        <w:rPr>
          <w:rFonts w:ascii="Book Antiqua" w:hAnsi="Book Antiqua"/>
          <w:b/>
          <w:bCs/>
          <w:sz w:val="23"/>
          <w:szCs w:val="23"/>
        </w:rPr>
        <w:t>/73</w:t>
      </w:r>
      <w:r w:rsidR="00933FF0">
        <w:rPr>
          <w:rFonts w:ascii="Book Antiqua" w:hAnsi="Book Antiqua"/>
          <w:b/>
          <w:bCs/>
          <w:sz w:val="23"/>
          <w:szCs w:val="23"/>
        </w:rPr>
        <w:t>(</w:t>
      </w:r>
      <w:r w:rsidR="00455750">
        <w:rPr>
          <w:rFonts w:ascii="Book Antiqua" w:hAnsi="Book Antiqua"/>
          <w:b/>
          <w:bCs/>
          <w:sz w:val="23"/>
          <w:szCs w:val="23"/>
        </w:rPr>
        <w:t>PDF75</w:t>
      </w:r>
      <w:r w:rsidR="00933FF0">
        <w:rPr>
          <w:rFonts w:ascii="Book Antiqua" w:hAnsi="Book Antiqua"/>
          <w:b/>
          <w:bCs/>
          <w:sz w:val="23"/>
          <w:szCs w:val="23"/>
        </w:rPr>
        <w:t>)</w:t>
      </w:r>
      <w:r w:rsidR="00455750">
        <w:rPr>
          <w:rFonts w:ascii="Book Antiqua" w:hAnsi="Book Antiqua"/>
          <w:b/>
          <w:bCs/>
          <w:sz w:val="23"/>
          <w:szCs w:val="23"/>
        </w:rPr>
        <w:t xml:space="preserve">] </w:t>
      </w:r>
      <w:r w:rsidR="00455750" w:rsidRPr="005458F5">
        <w:rPr>
          <w:rFonts w:ascii="Book Antiqua" w:hAnsi="Book Antiqua"/>
          <w:sz w:val="23"/>
          <w:szCs w:val="23"/>
        </w:rPr>
        <w:t>and Rampton 3,</w:t>
      </w:r>
      <w:r w:rsidR="00455750" w:rsidRPr="00455750">
        <w:rPr>
          <w:rFonts w:ascii="Book Antiqua" w:hAnsi="Book Antiqua"/>
          <w:sz w:val="23"/>
          <w:szCs w:val="23"/>
        </w:rPr>
        <w:t xml:space="preserve"> </w:t>
      </w:r>
      <w:r w:rsidR="00455750" w:rsidRPr="00137276">
        <w:rPr>
          <w:rFonts w:ascii="Book Antiqua" w:hAnsi="Book Antiqua"/>
          <w:sz w:val="23"/>
          <w:szCs w:val="23"/>
        </w:rPr>
        <w:t>§</w:t>
      </w:r>
      <w:r w:rsidR="00455750">
        <w:rPr>
          <w:rFonts w:ascii="Book Antiqua" w:hAnsi="Book Antiqua"/>
          <w:sz w:val="23"/>
          <w:szCs w:val="23"/>
        </w:rPr>
        <w:t>49</w:t>
      </w:r>
      <w:r w:rsidR="00455750">
        <w:rPr>
          <w:rFonts w:ascii="Book Antiqua" w:hAnsi="Book Antiqua"/>
          <w:b/>
          <w:bCs/>
          <w:sz w:val="23"/>
          <w:szCs w:val="23"/>
        </w:rPr>
        <w:t xml:space="preserve"> [SB/7/765</w:t>
      </w:r>
      <w:r w:rsidR="00933FF0">
        <w:rPr>
          <w:rFonts w:ascii="Book Antiqua" w:hAnsi="Book Antiqua"/>
          <w:b/>
          <w:bCs/>
          <w:sz w:val="23"/>
          <w:szCs w:val="23"/>
        </w:rPr>
        <w:t>(</w:t>
      </w:r>
      <w:r w:rsidR="00455750">
        <w:rPr>
          <w:rFonts w:ascii="Book Antiqua" w:hAnsi="Book Antiqua"/>
          <w:b/>
          <w:bCs/>
          <w:sz w:val="23"/>
          <w:szCs w:val="23"/>
        </w:rPr>
        <w:t>PDF127</w:t>
      </w:r>
      <w:r w:rsidR="00933FF0">
        <w:rPr>
          <w:rFonts w:ascii="Book Antiqua" w:hAnsi="Book Antiqua"/>
          <w:b/>
          <w:bCs/>
          <w:sz w:val="23"/>
          <w:szCs w:val="23"/>
        </w:rPr>
        <w:t>)</w:t>
      </w:r>
      <w:r w:rsidR="00455750">
        <w:rPr>
          <w:rFonts w:ascii="Book Antiqua" w:hAnsi="Book Antiqua"/>
          <w:b/>
          <w:bCs/>
          <w:sz w:val="23"/>
          <w:szCs w:val="23"/>
        </w:rPr>
        <w:t>]</w:t>
      </w:r>
      <w:r w:rsidR="00B64CA5" w:rsidRPr="00137276">
        <w:rPr>
          <w:rFonts w:ascii="Book Antiqua" w:hAnsi="Book Antiqua"/>
          <w:sz w:val="23"/>
          <w:szCs w:val="23"/>
        </w:rPr>
        <w:t xml:space="preserve">. </w:t>
      </w:r>
    </w:p>
    <w:p w14:paraId="07389AC3" w14:textId="53EE3769" w:rsidR="006E18D8" w:rsidRDefault="003D4A41" w:rsidP="00624586">
      <w:pPr>
        <w:pStyle w:val="ListParagraph"/>
        <w:numPr>
          <w:ilvl w:val="0"/>
          <w:numId w:val="3"/>
        </w:numPr>
        <w:spacing w:line="360" w:lineRule="auto"/>
        <w:ind w:left="567" w:hanging="567"/>
        <w:contextualSpacing w:val="0"/>
        <w:jc w:val="both"/>
        <w:rPr>
          <w:rFonts w:ascii="Book Antiqua" w:hAnsi="Book Antiqua"/>
          <w:sz w:val="23"/>
          <w:szCs w:val="23"/>
        </w:rPr>
      </w:pPr>
      <w:r>
        <w:rPr>
          <w:rFonts w:ascii="Book Antiqua" w:hAnsi="Book Antiqua"/>
          <w:sz w:val="23"/>
          <w:szCs w:val="23"/>
        </w:rPr>
        <w:t xml:space="preserve">In any event, even if the Court takes the view that this individual ought to be joined to the proceedings, </w:t>
      </w:r>
      <w:r w:rsidR="003118C4">
        <w:rPr>
          <w:rFonts w:ascii="Book Antiqua" w:hAnsi="Book Antiqua"/>
          <w:sz w:val="23"/>
          <w:szCs w:val="23"/>
        </w:rPr>
        <w:t xml:space="preserve">the University would still </w:t>
      </w:r>
      <w:r w:rsidR="00382C74">
        <w:rPr>
          <w:rFonts w:ascii="Book Antiqua" w:hAnsi="Book Antiqua"/>
          <w:sz w:val="23"/>
          <w:szCs w:val="23"/>
        </w:rPr>
        <w:t>need to</w:t>
      </w:r>
      <w:r w:rsidR="003118C4">
        <w:rPr>
          <w:rFonts w:ascii="Book Antiqua" w:hAnsi="Book Antiqua"/>
          <w:sz w:val="23"/>
          <w:szCs w:val="23"/>
        </w:rPr>
        <w:t xml:space="preserve"> seek</w:t>
      </w:r>
      <w:r w:rsidR="00382C74">
        <w:rPr>
          <w:rFonts w:ascii="Book Antiqua" w:hAnsi="Book Antiqua"/>
          <w:sz w:val="23"/>
          <w:szCs w:val="23"/>
        </w:rPr>
        <w:t xml:space="preserve"> a</w:t>
      </w:r>
      <w:r w:rsidR="004F6888">
        <w:rPr>
          <w:rFonts w:ascii="Book Antiqua" w:hAnsi="Book Antiqua"/>
          <w:sz w:val="23"/>
          <w:szCs w:val="23"/>
        </w:rPr>
        <w:t xml:space="preserve"> </w:t>
      </w:r>
      <w:r w:rsidR="004F6888">
        <w:rPr>
          <w:rFonts w:ascii="Book Antiqua" w:hAnsi="Book Antiqua"/>
          <w:i/>
          <w:iCs/>
          <w:sz w:val="23"/>
          <w:szCs w:val="23"/>
        </w:rPr>
        <w:t>contra mundum</w:t>
      </w:r>
      <w:r w:rsidR="00382C74">
        <w:rPr>
          <w:rFonts w:ascii="Book Antiqua" w:hAnsi="Book Antiqua"/>
          <w:sz w:val="23"/>
          <w:szCs w:val="23"/>
        </w:rPr>
        <w:t xml:space="preserve"> injunction against </w:t>
      </w:r>
      <w:r w:rsidR="0014114A">
        <w:rPr>
          <w:rFonts w:ascii="Book Antiqua" w:hAnsi="Book Antiqua"/>
          <w:sz w:val="23"/>
          <w:szCs w:val="23"/>
        </w:rPr>
        <w:t xml:space="preserve">newcomers. </w:t>
      </w:r>
    </w:p>
    <w:p w14:paraId="31D36BC4" w14:textId="0435881C" w:rsidR="00F4037B" w:rsidRDefault="002447F7" w:rsidP="00624586">
      <w:pPr>
        <w:pStyle w:val="ListParagraph"/>
        <w:numPr>
          <w:ilvl w:val="0"/>
          <w:numId w:val="3"/>
        </w:numPr>
        <w:spacing w:line="360" w:lineRule="auto"/>
        <w:ind w:left="567" w:hanging="567"/>
        <w:contextualSpacing w:val="0"/>
        <w:jc w:val="both"/>
        <w:rPr>
          <w:rFonts w:ascii="Book Antiqua" w:hAnsi="Book Antiqua"/>
          <w:sz w:val="23"/>
          <w:szCs w:val="23"/>
        </w:rPr>
      </w:pPr>
      <w:r>
        <w:rPr>
          <w:rFonts w:ascii="Book Antiqua" w:hAnsi="Book Antiqua"/>
          <w:b/>
          <w:bCs/>
          <w:sz w:val="23"/>
          <w:szCs w:val="23"/>
        </w:rPr>
        <w:t>Thirdly</w:t>
      </w:r>
      <w:r>
        <w:rPr>
          <w:rFonts w:ascii="Book Antiqua" w:hAnsi="Book Antiqua"/>
          <w:sz w:val="23"/>
          <w:szCs w:val="23"/>
        </w:rPr>
        <w:t>,</w:t>
      </w:r>
      <w:r w:rsidR="00E53D5F">
        <w:rPr>
          <w:rFonts w:ascii="Book Antiqua" w:hAnsi="Book Antiqua"/>
          <w:sz w:val="23"/>
          <w:szCs w:val="23"/>
        </w:rPr>
        <w:t xml:space="preserve"> </w:t>
      </w:r>
      <w:r w:rsidR="00A33F5E">
        <w:rPr>
          <w:rFonts w:ascii="Book Antiqua" w:hAnsi="Book Antiqua"/>
          <w:sz w:val="23"/>
          <w:szCs w:val="23"/>
        </w:rPr>
        <w:t xml:space="preserve">it could be argued that there are other </w:t>
      </w:r>
      <w:r w:rsidR="00334F88">
        <w:rPr>
          <w:rFonts w:ascii="Book Antiqua" w:hAnsi="Book Antiqua"/>
          <w:sz w:val="23"/>
          <w:szCs w:val="23"/>
        </w:rPr>
        <w:t>ways of stopping the Direct Action, such as police involvement.</w:t>
      </w:r>
      <w:r w:rsidR="00FA2257">
        <w:rPr>
          <w:rFonts w:ascii="Book Antiqua" w:hAnsi="Book Antiqua"/>
          <w:sz w:val="23"/>
          <w:szCs w:val="23"/>
        </w:rPr>
        <w:t xml:space="preserve"> However</w:t>
      </w:r>
      <w:r w:rsidR="00D76E86">
        <w:rPr>
          <w:rFonts w:ascii="Book Antiqua" w:hAnsi="Book Antiqua"/>
          <w:sz w:val="23"/>
          <w:szCs w:val="23"/>
        </w:rPr>
        <w:t xml:space="preserve">, </w:t>
      </w:r>
      <w:r w:rsidR="00ED5D64">
        <w:rPr>
          <w:rFonts w:ascii="Book Antiqua" w:hAnsi="Book Antiqua"/>
          <w:sz w:val="23"/>
          <w:szCs w:val="23"/>
        </w:rPr>
        <w:t>the case law</w:t>
      </w:r>
      <w:r w:rsidR="007E52BE">
        <w:rPr>
          <w:rFonts w:ascii="Book Antiqua" w:hAnsi="Book Antiqua"/>
          <w:sz w:val="23"/>
          <w:szCs w:val="23"/>
        </w:rPr>
        <w:t xml:space="preserve"> has repeatedly stated that the </w:t>
      </w:r>
      <w:r w:rsidR="00740C27">
        <w:rPr>
          <w:rFonts w:ascii="Book Antiqua" w:hAnsi="Book Antiqua"/>
          <w:sz w:val="23"/>
          <w:szCs w:val="23"/>
        </w:rPr>
        <w:t xml:space="preserve">existence of the </w:t>
      </w:r>
      <w:r w:rsidR="007E52BE">
        <w:rPr>
          <w:rFonts w:ascii="Book Antiqua" w:hAnsi="Book Antiqua"/>
          <w:sz w:val="23"/>
          <w:szCs w:val="23"/>
        </w:rPr>
        <w:t xml:space="preserve">criminal law is no </w:t>
      </w:r>
      <w:r w:rsidR="00740C27">
        <w:rPr>
          <w:rFonts w:ascii="Book Antiqua" w:hAnsi="Book Antiqua"/>
          <w:sz w:val="23"/>
          <w:szCs w:val="23"/>
        </w:rPr>
        <w:t>substitute for</w:t>
      </w:r>
      <w:r w:rsidR="00ED5D64">
        <w:rPr>
          <w:rFonts w:ascii="Book Antiqua" w:hAnsi="Book Antiqua"/>
          <w:sz w:val="23"/>
          <w:szCs w:val="23"/>
        </w:rPr>
        <w:t xml:space="preserve"> </w:t>
      </w:r>
      <w:r w:rsidR="00740C27">
        <w:rPr>
          <w:rFonts w:ascii="Book Antiqua" w:hAnsi="Book Antiqua"/>
          <w:sz w:val="23"/>
          <w:szCs w:val="23"/>
        </w:rPr>
        <w:t xml:space="preserve">a claimant </w:t>
      </w:r>
      <w:r w:rsidR="008237A3">
        <w:rPr>
          <w:rFonts w:ascii="Book Antiqua" w:hAnsi="Book Antiqua"/>
          <w:sz w:val="23"/>
          <w:szCs w:val="23"/>
        </w:rPr>
        <w:t>bringing its own civil claim</w:t>
      </w:r>
      <w:r w:rsidR="00647A72">
        <w:rPr>
          <w:rFonts w:ascii="Book Antiqua" w:hAnsi="Book Antiqua"/>
          <w:sz w:val="23"/>
          <w:szCs w:val="23"/>
        </w:rPr>
        <w:t>: see, most recently,</w:t>
      </w:r>
      <w:r w:rsidR="00F72E0E">
        <w:rPr>
          <w:rFonts w:ascii="Book Antiqua" w:hAnsi="Book Antiqua"/>
          <w:sz w:val="23"/>
          <w:szCs w:val="23"/>
        </w:rPr>
        <w:t xml:space="preserve"> </w:t>
      </w:r>
      <w:r w:rsidR="007E52BE">
        <w:rPr>
          <w:rFonts w:ascii="Book Antiqua" w:hAnsi="Book Antiqua"/>
          <w:sz w:val="23"/>
          <w:szCs w:val="23"/>
          <w:u w:val="single"/>
        </w:rPr>
        <w:t>N Warwickshire BC v Persons Unknown</w:t>
      </w:r>
      <w:r w:rsidR="007E52BE">
        <w:rPr>
          <w:rFonts w:ascii="Book Antiqua" w:hAnsi="Book Antiqua"/>
          <w:sz w:val="23"/>
          <w:szCs w:val="23"/>
        </w:rPr>
        <w:t xml:space="preserve"> [2024] EWHC 2254, §88 (HHJ Emma Kelly)</w:t>
      </w:r>
      <w:r w:rsidR="00A41A15">
        <w:rPr>
          <w:rFonts w:ascii="Book Antiqua" w:hAnsi="Book Antiqua"/>
          <w:sz w:val="23"/>
          <w:szCs w:val="23"/>
        </w:rPr>
        <w:t xml:space="preserve"> </w:t>
      </w:r>
      <w:r w:rsidR="00A41A15">
        <w:rPr>
          <w:rFonts w:ascii="Book Antiqua" w:hAnsi="Book Antiqua"/>
          <w:b/>
          <w:bCs/>
          <w:sz w:val="23"/>
          <w:szCs w:val="23"/>
        </w:rPr>
        <w:t>[AB/11/336]</w:t>
      </w:r>
      <w:r w:rsidR="007E52BE">
        <w:rPr>
          <w:rFonts w:ascii="Book Antiqua" w:hAnsi="Book Antiqua"/>
          <w:sz w:val="23"/>
          <w:szCs w:val="23"/>
        </w:rPr>
        <w:t>.</w:t>
      </w:r>
    </w:p>
    <w:p w14:paraId="4F04D410" w14:textId="61C78092" w:rsidR="00F72E0E" w:rsidRDefault="00DA1C1C" w:rsidP="00624586">
      <w:pPr>
        <w:pStyle w:val="ListParagraph"/>
        <w:numPr>
          <w:ilvl w:val="0"/>
          <w:numId w:val="3"/>
        </w:numPr>
        <w:spacing w:line="360" w:lineRule="auto"/>
        <w:ind w:left="567" w:hanging="567"/>
        <w:contextualSpacing w:val="0"/>
        <w:jc w:val="both"/>
        <w:rPr>
          <w:rFonts w:ascii="Book Antiqua" w:hAnsi="Book Antiqua"/>
          <w:sz w:val="23"/>
          <w:szCs w:val="23"/>
        </w:rPr>
      </w:pPr>
      <w:r>
        <w:rPr>
          <w:rFonts w:ascii="Book Antiqua" w:hAnsi="Book Antiqua"/>
          <w:sz w:val="23"/>
          <w:szCs w:val="23"/>
        </w:rPr>
        <w:t xml:space="preserve">Further, </w:t>
      </w:r>
      <w:r w:rsidR="00474657">
        <w:rPr>
          <w:rFonts w:ascii="Book Antiqua" w:hAnsi="Book Antiqua"/>
          <w:sz w:val="23"/>
          <w:szCs w:val="23"/>
        </w:rPr>
        <w:t xml:space="preserve">Public Space Protection Orders under </w:t>
      </w:r>
      <w:r w:rsidR="00E76005">
        <w:rPr>
          <w:rFonts w:ascii="Book Antiqua" w:hAnsi="Book Antiqua"/>
          <w:sz w:val="23"/>
          <w:szCs w:val="23"/>
        </w:rPr>
        <w:t xml:space="preserve">s.59 of </w:t>
      </w:r>
      <w:r w:rsidR="00474657">
        <w:rPr>
          <w:rFonts w:ascii="Book Antiqua" w:hAnsi="Book Antiqua"/>
          <w:sz w:val="23"/>
          <w:szCs w:val="23"/>
        </w:rPr>
        <w:t>the Anti-Social Behaviour</w:t>
      </w:r>
      <w:r w:rsidR="00E76005">
        <w:rPr>
          <w:rFonts w:ascii="Book Antiqua" w:hAnsi="Book Antiqua"/>
          <w:sz w:val="23"/>
          <w:szCs w:val="23"/>
        </w:rPr>
        <w:t>, Crime and Policing Act 2014 are not available as the Direct Action is not being carried out in a “</w:t>
      </w:r>
      <w:r w:rsidR="00E76005">
        <w:rPr>
          <w:rFonts w:ascii="Book Antiqua" w:hAnsi="Book Antiqua"/>
          <w:i/>
          <w:iCs/>
          <w:sz w:val="23"/>
          <w:szCs w:val="23"/>
        </w:rPr>
        <w:t>public place”</w:t>
      </w:r>
      <w:r w:rsidR="00735D18">
        <w:rPr>
          <w:rFonts w:ascii="Book Antiqua" w:hAnsi="Book Antiqua"/>
          <w:sz w:val="23"/>
          <w:szCs w:val="23"/>
        </w:rPr>
        <w:t>, i.e.</w:t>
      </w:r>
      <w:r w:rsidR="00E76005">
        <w:rPr>
          <w:rFonts w:ascii="Book Antiqua" w:hAnsi="Book Antiqua"/>
          <w:sz w:val="23"/>
          <w:szCs w:val="23"/>
        </w:rPr>
        <w:t xml:space="preserve"> </w:t>
      </w:r>
      <w:r w:rsidR="00735D18">
        <w:rPr>
          <w:rFonts w:ascii="Book Antiqua" w:hAnsi="Book Antiqua"/>
          <w:sz w:val="23"/>
          <w:szCs w:val="23"/>
        </w:rPr>
        <w:t>“</w:t>
      </w:r>
      <w:r w:rsidR="00735D18" w:rsidRPr="00735D18">
        <w:rPr>
          <w:rFonts w:ascii="Book Antiqua" w:hAnsi="Book Antiqua"/>
          <w:i/>
          <w:iCs/>
          <w:sz w:val="23"/>
          <w:szCs w:val="23"/>
        </w:rPr>
        <w:t>any place to which the public or any section of the public has access, on payment or otherwise, as of right or by virtue of express or implied permission</w:t>
      </w:r>
      <w:r w:rsidR="00735D18">
        <w:rPr>
          <w:rFonts w:ascii="Book Antiqua" w:hAnsi="Book Antiqua"/>
          <w:sz w:val="23"/>
          <w:szCs w:val="23"/>
        </w:rPr>
        <w:t>” (s.74(1))</w:t>
      </w:r>
      <w:r w:rsidR="00A41A15">
        <w:rPr>
          <w:rFonts w:ascii="Book Antiqua" w:hAnsi="Book Antiqua"/>
          <w:sz w:val="23"/>
          <w:szCs w:val="23"/>
        </w:rPr>
        <w:t xml:space="preserve"> </w:t>
      </w:r>
      <w:r w:rsidR="00A41A15">
        <w:rPr>
          <w:rFonts w:ascii="Book Antiqua" w:hAnsi="Book Antiqua"/>
          <w:b/>
          <w:bCs/>
          <w:sz w:val="23"/>
          <w:szCs w:val="23"/>
        </w:rPr>
        <w:t>[AB/</w:t>
      </w:r>
      <w:r w:rsidR="00BF5665">
        <w:rPr>
          <w:rFonts w:ascii="Book Antiqua" w:hAnsi="Book Antiqua"/>
          <w:b/>
          <w:bCs/>
          <w:sz w:val="23"/>
          <w:szCs w:val="23"/>
        </w:rPr>
        <w:t>2</w:t>
      </w:r>
      <w:r w:rsidR="00A41A15">
        <w:rPr>
          <w:rFonts w:ascii="Book Antiqua" w:hAnsi="Book Antiqua"/>
          <w:b/>
          <w:bCs/>
          <w:sz w:val="23"/>
          <w:szCs w:val="23"/>
        </w:rPr>
        <w:t>/</w:t>
      </w:r>
      <w:r w:rsidR="00BF5665">
        <w:rPr>
          <w:rFonts w:ascii="Book Antiqua" w:hAnsi="Book Antiqua"/>
          <w:b/>
          <w:bCs/>
          <w:sz w:val="23"/>
          <w:szCs w:val="23"/>
        </w:rPr>
        <w:t>10 and 12</w:t>
      </w:r>
      <w:r w:rsidR="00A41A15">
        <w:rPr>
          <w:rFonts w:ascii="Book Antiqua" w:hAnsi="Book Antiqua"/>
          <w:b/>
          <w:bCs/>
          <w:sz w:val="23"/>
          <w:szCs w:val="23"/>
        </w:rPr>
        <w:t>]</w:t>
      </w:r>
      <w:r w:rsidR="00E76005">
        <w:rPr>
          <w:rFonts w:ascii="Book Antiqua" w:hAnsi="Book Antiqua"/>
          <w:sz w:val="23"/>
          <w:szCs w:val="23"/>
        </w:rPr>
        <w:t xml:space="preserve">. </w:t>
      </w:r>
    </w:p>
    <w:p w14:paraId="17A2EF47" w14:textId="6FA924E9" w:rsidR="00A1429D" w:rsidRDefault="00F4037B" w:rsidP="00624586">
      <w:pPr>
        <w:pStyle w:val="ListParagraph"/>
        <w:numPr>
          <w:ilvl w:val="0"/>
          <w:numId w:val="3"/>
        </w:numPr>
        <w:spacing w:line="360" w:lineRule="auto"/>
        <w:ind w:left="567" w:hanging="567"/>
        <w:contextualSpacing w:val="0"/>
        <w:jc w:val="both"/>
        <w:rPr>
          <w:rFonts w:ascii="Book Antiqua" w:hAnsi="Book Antiqua"/>
          <w:sz w:val="23"/>
          <w:szCs w:val="23"/>
        </w:rPr>
      </w:pPr>
      <w:r w:rsidRPr="00F4037B">
        <w:rPr>
          <w:rFonts w:ascii="Book Antiqua" w:hAnsi="Book Antiqua"/>
          <w:b/>
          <w:bCs/>
          <w:sz w:val="23"/>
          <w:szCs w:val="23"/>
        </w:rPr>
        <w:t>Fourthly</w:t>
      </w:r>
      <w:r>
        <w:rPr>
          <w:rFonts w:ascii="Book Antiqua" w:hAnsi="Book Antiqua"/>
          <w:sz w:val="23"/>
          <w:szCs w:val="23"/>
        </w:rPr>
        <w:t xml:space="preserve">, </w:t>
      </w:r>
      <w:r w:rsidR="00E53D5F">
        <w:rPr>
          <w:rFonts w:ascii="Book Antiqua" w:hAnsi="Book Antiqua"/>
          <w:sz w:val="23"/>
          <w:szCs w:val="23"/>
        </w:rPr>
        <w:t>it could be argued that the</w:t>
      </w:r>
      <w:r w:rsidR="00BD0093">
        <w:rPr>
          <w:rFonts w:ascii="Book Antiqua" w:hAnsi="Book Antiqua"/>
          <w:sz w:val="23"/>
          <w:szCs w:val="23"/>
        </w:rPr>
        <w:t xml:space="preserve"> </w:t>
      </w:r>
      <w:r w:rsidR="00BD0093">
        <w:rPr>
          <w:rFonts w:ascii="Book Antiqua" w:hAnsi="Book Antiqua"/>
          <w:i/>
          <w:iCs/>
          <w:sz w:val="23"/>
          <w:szCs w:val="23"/>
        </w:rPr>
        <w:t>contra mundum</w:t>
      </w:r>
      <w:r w:rsidR="00E53D5F">
        <w:rPr>
          <w:rFonts w:ascii="Book Antiqua" w:hAnsi="Book Antiqua"/>
          <w:sz w:val="23"/>
          <w:szCs w:val="23"/>
        </w:rPr>
        <w:t xml:space="preserve"> approach </w:t>
      </w:r>
      <w:r w:rsidR="00BD0093">
        <w:rPr>
          <w:rFonts w:ascii="Book Antiqua" w:hAnsi="Book Antiqua"/>
          <w:sz w:val="23"/>
          <w:szCs w:val="23"/>
        </w:rPr>
        <w:t>sought by the University</w:t>
      </w:r>
      <w:r w:rsidR="00EF349F">
        <w:rPr>
          <w:rFonts w:ascii="Book Antiqua" w:hAnsi="Book Antiqua"/>
          <w:sz w:val="23"/>
          <w:szCs w:val="23"/>
        </w:rPr>
        <w:t xml:space="preserve"> ought not to be adopted because: (a) this</w:t>
      </w:r>
      <w:r w:rsidR="00FE1A3D">
        <w:rPr>
          <w:rFonts w:ascii="Book Antiqua" w:hAnsi="Book Antiqua"/>
          <w:sz w:val="23"/>
          <w:szCs w:val="23"/>
        </w:rPr>
        <w:t xml:space="preserve"> would </w:t>
      </w:r>
      <w:r w:rsidR="00EF349F">
        <w:rPr>
          <w:rFonts w:ascii="Book Antiqua" w:hAnsi="Book Antiqua"/>
          <w:sz w:val="23"/>
          <w:szCs w:val="23"/>
        </w:rPr>
        <w:t>significantly</w:t>
      </w:r>
      <w:r w:rsidR="00FE1A3D">
        <w:rPr>
          <w:rFonts w:ascii="Book Antiqua" w:hAnsi="Book Antiqua"/>
          <w:sz w:val="23"/>
          <w:szCs w:val="23"/>
        </w:rPr>
        <w:t xml:space="preserve"> </w:t>
      </w:r>
      <w:r w:rsidR="00163C11">
        <w:rPr>
          <w:rFonts w:ascii="Book Antiqua" w:hAnsi="Book Antiqua"/>
          <w:sz w:val="23"/>
          <w:szCs w:val="23"/>
        </w:rPr>
        <w:t>broaden the scope of any order</w:t>
      </w:r>
      <w:r w:rsidR="002C291E">
        <w:rPr>
          <w:rFonts w:ascii="Book Antiqua" w:hAnsi="Book Antiqua"/>
          <w:sz w:val="23"/>
          <w:szCs w:val="23"/>
        </w:rPr>
        <w:t xml:space="preserve"> to cover unwitting </w:t>
      </w:r>
      <w:r w:rsidR="00412080">
        <w:rPr>
          <w:rFonts w:ascii="Book Antiqua" w:hAnsi="Book Antiqua"/>
          <w:sz w:val="23"/>
          <w:szCs w:val="23"/>
        </w:rPr>
        <w:t>members of the public</w:t>
      </w:r>
      <w:r w:rsidR="00EF349F">
        <w:rPr>
          <w:rFonts w:ascii="Book Antiqua" w:hAnsi="Book Antiqua"/>
          <w:sz w:val="23"/>
          <w:szCs w:val="23"/>
        </w:rPr>
        <w:t>; and, (b)</w:t>
      </w:r>
      <w:r w:rsidR="00412080">
        <w:rPr>
          <w:rFonts w:ascii="Book Antiqua" w:hAnsi="Book Antiqua"/>
          <w:sz w:val="23"/>
          <w:szCs w:val="23"/>
        </w:rPr>
        <w:t xml:space="preserve"> </w:t>
      </w:r>
      <w:r w:rsidR="00EF349F">
        <w:rPr>
          <w:rFonts w:ascii="Book Antiqua" w:hAnsi="Book Antiqua"/>
          <w:sz w:val="23"/>
          <w:szCs w:val="23"/>
        </w:rPr>
        <w:t xml:space="preserve">this method has not been used in at least 16 High Court cases decided since </w:t>
      </w:r>
      <w:r w:rsidR="00EF349F">
        <w:rPr>
          <w:rFonts w:ascii="Book Antiqua" w:hAnsi="Book Antiqua"/>
          <w:sz w:val="23"/>
          <w:szCs w:val="23"/>
          <w:u w:val="single"/>
        </w:rPr>
        <w:t>Wolverhampton CC</w:t>
      </w:r>
      <w:r w:rsidR="00EF349F">
        <w:rPr>
          <w:rFonts w:ascii="Book Antiqua" w:hAnsi="Book Antiqua"/>
          <w:sz w:val="23"/>
          <w:szCs w:val="23"/>
        </w:rPr>
        <w:t xml:space="preserve"> (including </w:t>
      </w:r>
      <w:r w:rsidR="00EF349F">
        <w:rPr>
          <w:rFonts w:ascii="Book Antiqua" w:hAnsi="Book Antiqua"/>
          <w:sz w:val="23"/>
          <w:szCs w:val="23"/>
          <w:u w:val="single"/>
        </w:rPr>
        <w:t>UoL</w:t>
      </w:r>
      <w:r w:rsidR="00EF349F">
        <w:rPr>
          <w:rFonts w:ascii="Book Antiqua" w:hAnsi="Book Antiqua"/>
          <w:sz w:val="23"/>
          <w:szCs w:val="23"/>
        </w:rPr>
        <w:t>)</w:t>
      </w:r>
      <w:r w:rsidR="00A1429D">
        <w:rPr>
          <w:rFonts w:ascii="Book Antiqua" w:hAnsi="Book Antiqua"/>
          <w:sz w:val="23"/>
          <w:szCs w:val="23"/>
        </w:rPr>
        <w:t>.</w:t>
      </w:r>
      <w:r w:rsidR="00EF349F">
        <w:rPr>
          <w:rStyle w:val="FootnoteReference"/>
          <w:rFonts w:ascii="Book Antiqua" w:hAnsi="Book Antiqua"/>
          <w:sz w:val="23"/>
          <w:szCs w:val="23"/>
        </w:rPr>
        <w:footnoteReference w:id="7"/>
      </w:r>
      <w:r w:rsidR="00EF349F">
        <w:rPr>
          <w:rFonts w:ascii="Book Antiqua" w:hAnsi="Book Antiqua"/>
          <w:sz w:val="23"/>
          <w:szCs w:val="23"/>
        </w:rPr>
        <w:t xml:space="preserve"> </w:t>
      </w:r>
      <w:r w:rsidR="00F43450">
        <w:rPr>
          <w:rFonts w:ascii="Book Antiqua" w:hAnsi="Book Antiqua"/>
          <w:sz w:val="23"/>
          <w:szCs w:val="23"/>
        </w:rPr>
        <w:t xml:space="preserve">The University made these submissions </w:t>
      </w:r>
      <w:r w:rsidR="007E147A">
        <w:rPr>
          <w:rFonts w:ascii="Book Antiqua" w:hAnsi="Book Antiqua"/>
          <w:sz w:val="23"/>
          <w:szCs w:val="23"/>
        </w:rPr>
        <w:t xml:space="preserve">before Fordham J but they were rejected. </w:t>
      </w:r>
    </w:p>
    <w:p w14:paraId="7A4F54CD" w14:textId="732DC7B4" w:rsidR="00C155C8" w:rsidRPr="00911181" w:rsidRDefault="007E147A" w:rsidP="00911181">
      <w:pPr>
        <w:pStyle w:val="ListParagraph"/>
        <w:numPr>
          <w:ilvl w:val="3"/>
          <w:numId w:val="13"/>
        </w:numPr>
        <w:spacing w:line="360" w:lineRule="auto"/>
        <w:ind w:left="567" w:hanging="567"/>
        <w:contextualSpacing w:val="0"/>
        <w:jc w:val="both"/>
        <w:rPr>
          <w:rFonts w:ascii="Book Antiqua" w:hAnsi="Book Antiqua"/>
          <w:sz w:val="23"/>
          <w:szCs w:val="23"/>
        </w:rPr>
      </w:pPr>
      <w:r w:rsidRPr="009D37AD">
        <w:rPr>
          <w:rFonts w:ascii="Book Antiqua" w:hAnsi="Book Antiqua"/>
          <w:sz w:val="23"/>
          <w:szCs w:val="23"/>
        </w:rPr>
        <w:t>T</w:t>
      </w:r>
      <w:r w:rsidR="00391867" w:rsidRPr="009D37AD">
        <w:rPr>
          <w:rFonts w:ascii="Book Antiqua" w:hAnsi="Book Antiqua"/>
          <w:sz w:val="23"/>
          <w:szCs w:val="23"/>
        </w:rPr>
        <w:t xml:space="preserve">he University </w:t>
      </w:r>
      <w:r w:rsidRPr="009D37AD">
        <w:rPr>
          <w:rFonts w:ascii="Book Antiqua" w:hAnsi="Book Antiqua"/>
          <w:sz w:val="23"/>
          <w:szCs w:val="23"/>
        </w:rPr>
        <w:t xml:space="preserve">now seeks to adopt the approach of Fordham J and </w:t>
      </w:r>
      <w:r w:rsidR="00391867" w:rsidRPr="009D37AD">
        <w:rPr>
          <w:rFonts w:ascii="Book Antiqua" w:hAnsi="Book Antiqua"/>
          <w:sz w:val="23"/>
          <w:szCs w:val="23"/>
        </w:rPr>
        <w:t>relies on two of the most recent cases to justify its approach:</w:t>
      </w:r>
      <w:r w:rsidR="00C61450" w:rsidRPr="009D37AD">
        <w:rPr>
          <w:rFonts w:ascii="Book Antiqua" w:hAnsi="Book Antiqua"/>
          <w:sz w:val="23"/>
          <w:szCs w:val="23"/>
        </w:rPr>
        <w:t xml:space="preserve"> i.e.</w:t>
      </w:r>
      <w:r w:rsidR="00391867" w:rsidRPr="009D37AD">
        <w:rPr>
          <w:rFonts w:ascii="Book Antiqua" w:hAnsi="Book Antiqua"/>
          <w:sz w:val="23"/>
          <w:szCs w:val="23"/>
        </w:rPr>
        <w:t xml:space="preserve"> </w:t>
      </w:r>
      <w:r w:rsidR="00391867" w:rsidRPr="009D37AD">
        <w:rPr>
          <w:rFonts w:ascii="Book Antiqua" w:hAnsi="Book Antiqua"/>
          <w:sz w:val="23"/>
          <w:szCs w:val="23"/>
          <w:u w:val="single"/>
        </w:rPr>
        <w:t>MBR Acres</w:t>
      </w:r>
      <w:r w:rsidR="00127FCA" w:rsidRPr="009D37AD">
        <w:rPr>
          <w:rFonts w:ascii="Book Antiqua" w:hAnsi="Book Antiqua"/>
          <w:sz w:val="23"/>
          <w:szCs w:val="23"/>
        </w:rPr>
        <w:t>, §§356</w:t>
      </w:r>
      <w:r w:rsidR="00A41743" w:rsidRPr="009D37AD">
        <w:rPr>
          <w:rFonts w:ascii="Book Antiqua" w:hAnsi="Book Antiqua"/>
          <w:sz w:val="23"/>
          <w:szCs w:val="23"/>
        </w:rPr>
        <w:t>, 358</w:t>
      </w:r>
      <w:r w:rsidR="00127FCA" w:rsidRPr="009D37AD">
        <w:rPr>
          <w:rFonts w:ascii="Book Antiqua" w:hAnsi="Book Antiqua"/>
          <w:sz w:val="23"/>
          <w:szCs w:val="23"/>
        </w:rPr>
        <w:t xml:space="preserve"> and 362 </w:t>
      </w:r>
      <w:r w:rsidR="00127FCA" w:rsidRPr="009D37AD">
        <w:rPr>
          <w:rFonts w:ascii="Book Antiqua" w:hAnsi="Book Antiqua"/>
          <w:b/>
          <w:bCs/>
          <w:sz w:val="23"/>
          <w:szCs w:val="23"/>
        </w:rPr>
        <w:t>[AB/15/508]</w:t>
      </w:r>
      <w:r w:rsidR="00391867" w:rsidRPr="009D37AD">
        <w:rPr>
          <w:rFonts w:ascii="Book Antiqua" w:hAnsi="Book Antiqua"/>
          <w:sz w:val="23"/>
          <w:szCs w:val="23"/>
        </w:rPr>
        <w:t xml:space="preserve"> and the </w:t>
      </w:r>
      <w:r w:rsidR="00391867" w:rsidRPr="009D37AD">
        <w:rPr>
          <w:rFonts w:ascii="Book Antiqua" w:hAnsi="Book Antiqua"/>
          <w:sz w:val="23"/>
          <w:szCs w:val="23"/>
          <w:u w:val="single"/>
        </w:rPr>
        <w:t>Fordham Judgment</w:t>
      </w:r>
      <w:r w:rsidR="00D564DF" w:rsidRPr="009D37AD">
        <w:rPr>
          <w:rFonts w:ascii="Book Antiqua" w:hAnsi="Book Antiqua"/>
          <w:sz w:val="23"/>
          <w:szCs w:val="23"/>
        </w:rPr>
        <w:t xml:space="preserve">, §27 </w:t>
      </w:r>
      <w:r w:rsidR="006642FE" w:rsidRPr="009D37AD">
        <w:rPr>
          <w:rFonts w:ascii="Book Antiqua" w:hAnsi="Book Antiqua"/>
          <w:b/>
          <w:bCs/>
          <w:sz w:val="23"/>
          <w:szCs w:val="23"/>
        </w:rPr>
        <w:t>[</w:t>
      </w:r>
      <w:r w:rsidR="006642FE">
        <w:rPr>
          <w:rFonts w:ascii="Book Antiqua" w:hAnsi="Book Antiqua"/>
          <w:b/>
          <w:bCs/>
          <w:sz w:val="23"/>
          <w:szCs w:val="23"/>
        </w:rPr>
        <w:t>SB/10/920</w:t>
      </w:r>
      <w:r w:rsidR="00933FF0">
        <w:rPr>
          <w:rFonts w:ascii="Book Antiqua" w:hAnsi="Book Antiqua"/>
          <w:b/>
          <w:bCs/>
          <w:sz w:val="23"/>
          <w:szCs w:val="23"/>
        </w:rPr>
        <w:t>(</w:t>
      </w:r>
      <w:r w:rsidR="00455750">
        <w:rPr>
          <w:rFonts w:ascii="Book Antiqua" w:hAnsi="Book Antiqua"/>
          <w:b/>
          <w:bCs/>
          <w:sz w:val="23"/>
          <w:szCs w:val="23"/>
        </w:rPr>
        <w:t>PDF282</w:t>
      </w:r>
      <w:r w:rsidR="00933FF0">
        <w:rPr>
          <w:rFonts w:ascii="Book Antiqua" w:hAnsi="Book Antiqua"/>
          <w:b/>
          <w:bCs/>
          <w:sz w:val="23"/>
          <w:szCs w:val="23"/>
        </w:rPr>
        <w:t>)</w:t>
      </w:r>
      <w:r w:rsidR="00455750">
        <w:rPr>
          <w:rFonts w:ascii="Book Antiqua" w:hAnsi="Book Antiqua"/>
          <w:b/>
          <w:bCs/>
          <w:sz w:val="23"/>
          <w:szCs w:val="23"/>
        </w:rPr>
        <w:t>]</w:t>
      </w:r>
      <w:r w:rsidR="00391867" w:rsidRPr="009D37AD">
        <w:rPr>
          <w:rFonts w:ascii="Book Antiqua" w:hAnsi="Book Antiqua"/>
          <w:sz w:val="23"/>
          <w:szCs w:val="23"/>
        </w:rPr>
        <w:t xml:space="preserve">. </w:t>
      </w:r>
      <w:r w:rsidR="00C155C8" w:rsidRPr="009D37AD">
        <w:rPr>
          <w:rFonts w:ascii="Book Antiqua" w:hAnsi="Book Antiqua"/>
          <w:sz w:val="23"/>
          <w:szCs w:val="23"/>
        </w:rPr>
        <w:t>Th</w:t>
      </w:r>
      <w:r w:rsidR="00CE5277" w:rsidRPr="009D37AD">
        <w:rPr>
          <w:rFonts w:ascii="Book Antiqua" w:hAnsi="Book Antiqua"/>
          <w:sz w:val="23"/>
          <w:szCs w:val="23"/>
        </w:rPr>
        <w:t>e</w:t>
      </w:r>
      <w:r w:rsidR="00847A56" w:rsidRPr="009D37AD">
        <w:rPr>
          <w:rFonts w:ascii="Book Antiqua" w:hAnsi="Book Antiqua"/>
          <w:sz w:val="23"/>
          <w:szCs w:val="23"/>
        </w:rPr>
        <w:t xml:space="preserve"> </w:t>
      </w:r>
      <w:r w:rsidR="00CE5277" w:rsidRPr="009D37AD">
        <w:rPr>
          <w:rFonts w:ascii="Book Antiqua" w:hAnsi="Book Antiqua"/>
          <w:sz w:val="23"/>
          <w:szCs w:val="23"/>
        </w:rPr>
        <w:t xml:space="preserve">merit of adopting this approach is to improve the clarity and comprehensibility of the Order </w:t>
      </w:r>
      <w:r w:rsidR="00895703" w:rsidRPr="009D37AD">
        <w:rPr>
          <w:rFonts w:ascii="Book Antiqua" w:hAnsi="Book Antiqua"/>
          <w:sz w:val="23"/>
          <w:szCs w:val="23"/>
        </w:rPr>
        <w:t>as to</w:t>
      </w:r>
      <w:r w:rsidR="00CE5277" w:rsidRPr="009D37AD">
        <w:rPr>
          <w:rFonts w:ascii="Book Antiqua" w:hAnsi="Book Antiqua"/>
          <w:sz w:val="23"/>
          <w:szCs w:val="23"/>
        </w:rPr>
        <w:t xml:space="preserve"> its scope. </w:t>
      </w:r>
      <w:r w:rsidR="00C024A9" w:rsidRPr="009D37AD">
        <w:rPr>
          <w:rFonts w:ascii="Book Antiqua" w:hAnsi="Book Antiqua"/>
          <w:sz w:val="23"/>
          <w:szCs w:val="23"/>
        </w:rPr>
        <w:t>Concerns regarding the broader scope of the Order are dealt with by the safeguard at Draft Order, §13, that the Court’s permission</w:t>
      </w:r>
      <w:r w:rsidR="00F93AAB" w:rsidRPr="009D37AD">
        <w:rPr>
          <w:rFonts w:ascii="Book Antiqua" w:hAnsi="Book Antiqua"/>
          <w:sz w:val="23"/>
          <w:szCs w:val="23"/>
        </w:rPr>
        <w:t xml:space="preserve"> be obtained before a contempt application </w:t>
      </w:r>
      <w:r w:rsidR="00F43450" w:rsidRPr="009D37AD">
        <w:rPr>
          <w:rFonts w:ascii="Book Antiqua" w:hAnsi="Book Antiqua"/>
          <w:sz w:val="23"/>
          <w:szCs w:val="23"/>
        </w:rPr>
        <w:t xml:space="preserve">be brought. </w:t>
      </w:r>
    </w:p>
    <w:p w14:paraId="1C9B3D7E" w14:textId="1B83EC81" w:rsidR="00461BAB" w:rsidRDefault="00461BAB" w:rsidP="00624586">
      <w:pPr>
        <w:pStyle w:val="ListParagraph"/>
        <w:numPr>
          <w:ilvl w:val="0"/>
          <w:numId w:val="3"/>
        </w:numPr>
        <w:spacing w:line="360" w:lineRule="auto"/>
        <w:ind w:left="567" w:hanging="567"/>
        <w:contextualSpacing w:val="0"/>
        <w:jc w:val="both"/>
        <w:rPr>
          <w:rFonts w:ascii="Book Antiqua" w:hAnsi="Book Antiqua"/>
          <w:sz w:val="23"/>
          <w:szCs w:val="23"/>
        </w:rPr>
      </w:pPr>
      <w:r>
        <w:rPr>
          <w:rFonts w:ascii="Book Antiqua" w:hAnsi="Book Antiqua"/>
          <w:sz w:val="23"/>
          <w:szCs w:val="23"/>
        </w:rPr>
        <w:t>If the Court is not minded to take this approach</w:t>
      </w:r>
      <w:r w:rsidR="00911181">
        <w:rPr>
          <w:rFonts w:ascii="Book Antiqua" w:hAnsi="Book Antiqua"/>
          <w:sz w:val="23"/>
          <w:szCs w:val="23"/>
        </w:rPr>
        <w:t>,</w:t>
      </w:r>
      <w:r>
        <w:rPr>
          <w:rFonts w:ascii="Book Antiqua" w:hAnsi="Book Antiqua"/>
          <w:sz w:val="23"/>
          <w:szCs w:val="23"/>
        </w:rPr>
        <w:t xml:space="preserve"> however, the </w:t>
      </w:r>
      <w:r w:rsidR="00F61418">
        <w:rPr>
          <w:rFonts w:ascii="Book Antiqua" w:hAnsi="Book Antiqua"/>
          <w:sz w:val="23"/>
          <w:szCs w:val="23"/>
        </w:rPr>
        <w:t>Order can expressly be confined</w:t>
      </w:r>
      <w:r w:rsidR="00D341D5">
        <w:rPr>
          <w:rFonts w:ascii="Book Antiqua" w:hAnsi="Book Antiqua"/>
          <w:sz w:val="23"/>
          <w:szCs w:val="23"/>
        </w:rPr>
        <w:t xml:space="preserve"> to apply only to a defined category of Persons Unknown. </w:t>
      </w:r>
    </w:p>
    <w:p w14:paraId="6E6B9458" w14:textId="185B6718" w:rsidR="004F415D" w:rsidRDefault="00E74F2A" w:rsidP="00624586">
      <w:pPr>
        <w:pStyle w:val="ListParagraph"/>
        <w:numPr>
          <w:ilvl w:val="0"/>
          <w:numId w:val="3"/>
        </w:numPr>
        <w:spacing w:line="360" w:lineRule="auto"/>
        <w:ind w:left="567" w:hanging="567"/>
        <w:contextualSpacing w:val="0"/>
        <w:jc w:val="both"/>
        <w:rPr>
          <w:rFonts w:ascii="Book Antiqua" w:hAnsi="Book Antiqua"/>
          <w:sz w:val="23"/>
          <w:szCs w:val="23"/>
        </w:rPr>
      </w:pPr>
      <w:r>
        <w:rPr>
          <w:rFonts w:ascii="Book Antiqua" w:hAnsi="Book Antiqua"/>
          <w:b/>
          <w:bCs/>
          <w:sz w:val="23"/>
          <w:szCs w:val="23"/>
        </w:rPr>
        <w:t>Fifthly</w:t>
      </w:r>
      <w:r>
        <w:rPr>
          <w:rFonts w:ascii="Book Antiqua" w:hAnsi="Book Antiqua"/>
          <w:sz w:val="23"/>
          <w:szCs w:val="23"/>
        </w:rPr>
        <w:t>,</w:t>
      </w:r>
      <w:r w:rsidR="00726743">
        <w:rPr>
          <w:rFonts w:ascii="Book Antiqua" w:hAnsi="Book Antiqua"/>
          <w:sz w:val="23"/>
          <w:szCs w:val="23"/>
        </w:rPr>
        <w:t xml:space="preserve"> on the morning of the hearing before Fordham J, the University was sent an email from </w:t>
      </w:r>
      <w:r w:rsidR="0032511E">
        <w:rPr>
          <w:rFonts w:ascii="Book Antiqua" w:hAnsi="Book Antiqua"/>
          <w:sz w:val="23"/>
          <w:szCs w:val="23"/>
        </w:rPr>
        <w:t xml:space="preserve">Ms Gina Romero, </w:t>
      </w:r>
      <w:r w:rsidR="00726743">
        <w:rPr>
          <w:rFonts w:ascii="Book Antiqua" w:hAnsi="Book Antiqua"/>
          <w:sz w:val="23"/>
          <w:szCs w:val="23"/>
        </w:rPr>
        <w:t xml:space="preserve">the </w:t>
      </w:r>
      <w:r w:rsidR="00011856" w:rsidRPr="00011856">
        <w:rPr>
          <w:rFonts w:ascii="Book Antiqua" w:hAnsi="Book Antiqua"/>
          <w:sz w:val="23"/>
          <w:szCs w:val="23"/>
        </w:rPr>
        <w:t>UN Special Rapporteur on the Rights of Freedom of Peaceful Assembly and of Association</w:t>
      </w:r>
      <w:r w:rsidR="00011856">
        <w:rPr>
          <w:rFonts w:ascii="Book Antiqua" w:hAnsi="Book Antiqua"/>
          <w:sz w:val="23"/>
          <w:szCs w:val="23"/>
        </w:rPr>
        <w:t xml:space="preserve"> </w:t>
      </w:r>
      <w:r w:rsidR="004F415D">
        <w:rPr>
          <w:rFonts w:ascii="Book Antiqua" w:hAnsi="Book Antiqua"/>
          <w:sz w:val="23"/>
          <w:szCs w:val="23"/>
        </w:rPr>
        <w:t xml:space="preserve">expressing concerns about the University’s claim </w:t>
      </w:r>
      <w:r w:rsidR="006642FE">
        <w:rPr>
          <w:rFonts w:ascii="Book Antiqua" w:hAnsi="Book Antiqua"/>
          <w:b/>
          <w:bCs/>
          <w:sz w:val="23"/>
          <w:szCs w:val="23"/>
        </w:rPr>
        <w:t>[SB/16/984</w:t>
      </w:r>
      <w:r w:rsidR="00933FF0">
        <w:rPr>
          <w:rFonts w:ascii="Book Antiqua" w:hAnsi="Book Antiqua"/>
          <w:b/>
          <w:bCs/>
          <w:sz w:val="23"/>
          <w:szCs w:val="23"/>
        </w:rPr>
        <w:t>(</w:t>
      </w:r>
      <w:r w:rsidR="00455750">
        <w:rPr>
          <w:rFonts w:ascii="Book Antiqua" w:hAnsi="Book Antiqua"/>
          <w:b/>
          <w:bCs/>
          <w:sz w:val="23"/>
          <w:szCs w:val="23"/>
        </w:rPr>
        <w:t>PDF346</w:t>
      </w:r>
      <w:r w:rsidR="00933FF0">
        <w:rPr>
          <w:rFonts w:ascii="Book Antiqua" w:hAnsi="Book Antiqua"/>
          <w:b/>
          <w:bCs/>
          <w:sz w:val="23"/>
          <w:szCs w:val="23"/>
        </w:rPr>
        <w:t>)</w:t>
      </w:r>
      <w:r w:rsidR="00455750">
        <w:rPr>
          <w:rFonts w:ascii="Book Antiqua" w:hAnsi="Book Antiqua"/>
          <w:b/>
          <w:bCs/>
          <w:sz w:val="23"/>
          <w:szCs w:val="23"/>
        </w:rPr>
        <w:t>]</w:t>
      </w:r>
      <w:r w:rsidR="00011856">
        <w:rPr>
          <w:rFonts w:ascii="Book Antiqua" w:hAnsi="Book Antiqua"/>
          <w:sz w:val="23"/>
          <w:szCs w:val="23"/>
        </w:rPr>
        <w:t>.</w:t>
      </w:r>
      <w:r w:rsidR="004F415D">
        <w:rPr>
          <w:rFonts w:ascii="Book Antiqua" w:hAnsi="Book Antiqua"/>
          <w:sz w:val="23"/>
          <w:szCs w:val="23"/>
        </w:rPr>
        <w:t xml:space="preserve"> In relation to this:</w:t>
      </w:r>
    </w:p>
    <w:p w14:paraId="6EACD5DA" w14:textId="27D0865B" w:rsidR="001C09A8" w:rsidRDefault="0032511E" w:rsidP="004F415D">
      <w:pPr>
        <w:pStyle w:val="ListParagraph"/>
        <w:numPr>
          <w:ilvl w:val="1"/>
          <w:numId w:val="3"/>
        </w:numPr>
        <w:spacing w:line="360" w:lineRule="auto"/>
        <w:ind w:left="1701" w:hanging="567"/>
        <w:contextualSpacing w:val="0"/>
        <w:jc w:val="both"/>
        <w:rPr>
          <w:rFonts w:ascii="Book Antiqua" w:hAnsi="Book Antiqua"/>
          <w:sz w:val="23"/>
          <w:szCs w:val="23"/>
        </w:rPr>
      </w:pPr>
      <w:r>
        <w:rPr>
          <w:rFonts w:ascii="Book Antiqua" w:hAnsi="Book Antiqua"/>
          <w:sz w:val="23"/>
          <w:szCs w:val="23"/>
        </w:rPr>
        <w:t>Ms Romero referred to her “</w:t>
      </w:r>
      <w:r>
        <w:rPr>
          <w:rFonts w:ascii="Book Antiqua" w:hAnsi="Book Antiqua"/>
          <w:i/>
          <w:iCs/>
          <w:sz w:val="23"/>
          <w:szCs w:val="23"/>
        </w:rPr>
        <w:t>concern about some allegations I have received regarding University’s [sic] claim for a precautionary injunction…”</w:t>
      </w:r>
      <w:r>
        <w:rPr>
          <w:rFonts w:ascii="Book Antiqua" w:hAnsi="Book Antiqua"/>
          <w:sz w:val="23"/>
          <w:szCs w:val="23"/>
        </w:rPr>
        <w:t xml:space="preserve">. </w:t>
      </w:r>
      <w:r w:rsidR="00BC6B30">
        <w:rPr>
          <w:rFonts w:ascii="Book Antiqua" w:hAnsi="Book Antiqua"/>
          <w:sz w:val="23"/>
          <w:szCs w:val="23"/>
        </w:rPr>
        <w:t>It is unclear what Ms Romero was told about the claim, whether she had seen any of the claim documents or whether she knew any of the underlying facts</w:t>
      </w:r>
      <w:r w:rsidR="001C09A8">
        <w:rPr>
          <w:rFonts w:ascii="Book Antiqua" w:hAnsi="Book Antiqua"/>
          <w:sz w:val="23"/>
          <w:szCs w:val="23"/>
        </w:rPr>
        <w:t>.</w:t>
      </w:r>
      <w:r w:rsidR="008056BA">
        <w:rPr>
          <w:rFonts w:ascii="Book Antiqua" w:hAnsi="Book Antiqua"/>
          <w:sz w:val="23"/>
          <w:szCs w:val="23"/>
        </w:rPr>
        <w:t xml:space="preserve"> In these circumstances, minimal weight can be given to the points she makes in her email. </w:t>
      </w:r>
    </w:p>
    <w:p w14:paraId="687251A6" w14:textId="77777777" w:rsidR="001C09A8" w:rsidRDefault="001C09A8" w:rsidP="004F415D">
      <w:pPr>
        <w:pStyle w:val="ListParagraph"/>
        <w:numPr>
          <w:ilvl w:val="1"/>
          <w:numId w:val="3"/>
        </w:numPr>
        <w:spacing w:line="360" w:lineRule="auto"/>
        <w:ind w:left="1701" w:hanging="567"/>
        <w:contextualSpacing w:val="0"/>
        <w:jc w:val="both"/>
        <w:rPr>
          <w:rFonts w:ascii="Book Antiqua" w:hAnsi="Book Antiqua"/>
          <w:sz w:val="23"/>
          <w:szCs w:val="23"/>
        </w:rPr>
      </w:pPr>
      <w:r>
        <w:rPr>
          <w:rFonts w:ascii="Book Antiqua" w:hAnsi="Book Antiqua"/>
          <w:sz w:val="23"/>
          <w:szCs w:val="23"/>
        </w:rPr>
        <w:t xml:space="preserve">The domestic case law on these issues, as referred to above, are well-established. Nothing Ms Romero says could affect that. </w:t>
      </w:r>
    </w:p>
    <w:p w14:paraId="661F5F82" w14:textId="0AC6947E" w:rsidR="00A70DD8" w:rsidRPr="00911181" w:rsidRDefault="00302EAA" w:rsidP="00911181">
      <w:pPr>
        <w:pStyle w:val="ListParagraph"/>
        <w:numPr>
          <w:ilvl w:val="1"/>
          <w:numId w:val="3"/>
        </w:numPr>
        <w:spacing w:line="360" w:lineRule="auto"/>
        <w:ind w:left="1701" w:hanging="567"/>
        <w:contextualSpacing w:val="0"/>
        <w:jc w:val="both"/>
        <w:rPr>
          <w:rFonts w:ascii="Book Antiqua" w:hAnsi="Book Antiqua"/>
          <w:sz w:val="23"/>
          <w:szCs w:val="23"/>
        </w:rPr>
      </w:pPr>
      <w:r>
        <w:rPr>
          <w:rFonts w:ascii="Book Antiqua" w:hAnsi="Book Antiqua"/>
          <w:sz w:val="23"/>
          <w:szCs w:val="23"/>
        </w:rPr>
        <w:t xml:space="preserve">In any event, </w:t>
      </w:r>
      <w:r w:rsidR="005D089B">
        <w:rPr>
          <w:rFonts w:ascii="Book Antiqua" w:hAnsi="Book Antiqua"/>
          <w:sz w:val="23"/>
          <w:szCs w:val="23"/>
        </w:rPr>
        <w:t xml:space="preserve">the document she refers to </w:t>
      </w:r>
      <w:r w:rsidR="003C5FF5">
        <w:rPr>
          <w:rFonts w:ascii="Book Antiqua" w:hAnsi="Book Antiqua"/>
          <w:sz w:val="23"/>
          <w:szCs w:val="23"/>
        </w:rPr>
        <w:t>containing recommendations for universities</w:t>
      </w:r>
      <w:r w:rsidR="003C5FF5">
        <w:rPr>
          <w:rStyle w:val="FootnoteReference"/>
          <w:rFonts w:ascii="Book Antiqua" w:hAnsi="Book Antiqua"/>
          <w:sz w:val="23"/>
          <w:szCs w:val="23"/>
        </w:rPr>
        <w:footnoteReference w:id="8"/>
      </w:r>
      <w:r w:rsidR="000508A3">
        <w:rPr>
          <w:rFonts w:ascii="Book Antiqua" w:hAnsi="Book Antiqua"/>
          <w:sz w:val="23"/>
          <w:szCs w:val="23"/>
        </w:rPr>
        <w:t xml:space="preserve"> positively supports the University’s approach in this instance</w:t>
      </w:r>
      <w:r w:rsidR="00ED58B2">
        <w:rPr>
          <w:rFonts w:ascii="Book Antiqua" w:hAnsi="Book Antiqua"/>
          <w:sz w:val="23"/>
          <w:szCs w:val="23"/>
        </w:rPr>
        <w:t xml:space="preserve">: see Fordham Judgment, §35 </w:t>
      </w:r>
      <w:r w:rsidR="00ED58B2">
        <w:rPr>
          <w:rFonts w:ascii="Book Antiqua" w:hAnsi="Book Antiqua"/>
          <w:b/>
          <w:bCs/>
          <w:sz w:val="23"/>
          <w:szCs w:val="23"/>
        </w:rPr>
        <w:t>[</w:t>
      </w:r>
      <w:r w:rsidR="009A5F3C">
        <w:rPr>
          <w:rFonts w:ascii="Book Antiqua" w:hAnsi="Book Antiqua"/>
          <w:b/>
          <w:bCs/>
          <w:sz w:val="23"/>
          <w:szCs w:val="23"/>
        </w:rPr>
        <w:t>SB/10/</w:t>
      </w:r>
      <w:r w:rsidR="003A469E">
        <w:rPr>
          <w:rFonts w:ascii="Book Antiqua" w:hAnsi="Book Antiqua"/>
          <w:b/>
          <w:bCs/>
          <w:sz w:val="23"/>
          <w:szCs w:val="23"/>
        </w:rPr>
        <w:t>922</w:t>
      </w:r>
      <w:r w:rsidR="0029161F">
        <w:rPr>
          <w:rFonts w:ascii="Book Antiqua" w:hAnsi="Book Antiqua"/>
          <w:b/>
          <w:bCs/>
          <w:sz w:val="23"/>
          <w:szCs w:val="23"/>
        </w:rPr>
        <w:t>(</w:t>
      </w:r>
      <w:r w:rsidR="00455750">
        <w:rPr>
          <w:rFonts w:ascii="Book Antiqua" w:hAnsi="Book Antiqua"/>
          <w:b/>
          <w:bCs/>
          <w:sz w:val="23"/>
          <w:szCs w:val="23"/>
        </w:rPr>
        <w:t>PDF284</w:t>
      </w:r>
      <w:r w:rsidR="0029161F">
        <w:rPr>
          <w:rFonts w:ascii="Book Antiqua" w:hAnsi="Book Antiqua"/>
          <w:b/>
          <w:bCs/>
          <w:sz w:val="23"/>
          <w:szCs w:val="23"/>
        </w:rPr>
        <w:t>)</w:t>
      </w:r>
      <w:r w:rsidR="00455750">
        <w:rPr>
          <w:rFonts w:ascii="Book Antiqua" w:hAnsi="Book Antiqua"/>
          <w:b/>
          <w:bCs/>
          <w:sz w:val="23"/>
          <w:szCs w:val="23"/>
        </w:rPr>
        <w:t>]</w:t>
      </w:r>
      <w:r w:rsidR="00ED58B2">
        <w:rPr>
          <w:rFonts w:ascii="Book Antiqua" w:hAnsi="Book Antiqua"/>
          <w:sz w:val="23"/>
          <w:szCs w:val="23"/>
        </w:rPr>
        <w:t>.</w:t>
      </w:r>
      <w:r w:rsidR="006C6869">
        <w:rPr>
          <w:rFonts w:ascii="Book Antiqua" w:hAnsi="Book Antiqua"/>
          <w:sz w:val="23"/>
          <w:szCs w:val="23"/>
        </w:rPr>
        <w:t xml:space="preserve"> </w:t>
      </w:r>
      <w:r w:rsidR="00011856">
        <w:rPr>
          <w:rFonts w:ascii="Book Antiqua" w:hAnsi="Book Antiqua"/>
          <w:sz w:val="23"/>
          <w:szCs w:val="23"/>
        </w:rPr>
        <w:t xml:space="preserve"> </w:t>
      </w:r>
    </w:p>
    <w:p w14:paraId="3E6478DF" w14:textId="70016B1D" w:rsidR="00896920" w:rsidRPr="00C3428A" w:rsidRDefault="00896920" w:rsidP="004B1355">
      <w:pPr>
        <w:pStyle w:val="ListParagraph"/>
        <w:numPr>
          <w:ilvl w:val="0"/>
          <w:numId w:val="2"/>
        </w:numPr>
        <w:spacing w:line="360" w:lineRule="auto"/>
        <w:ind w:left="567" w:hanging="567"/>
        <w:contextualSpacing w:val="0"/>
        <w:jc w:val="both"/>
        <w:rPr>
          <w:rFonts w:ascii="Book Antiqua" w:hAnsi="Book Antiqua"/>
          <w:b/>
          <w:bCs/>
          <w:sz w:val="23"/>
          <w:szCs w:val="23"/>
          <w:u w:val="single"/>
        </w:rPr>
      </w:pPr>
      <w:r w:rsidRPr="00C3428A">
        <w:rPr>
          <w:rFonts w:ascii="Book Antiqua" w:hAnsi="Book Antiqua"/>
          <w:b/>
          <w:bCs/>
          <w:sz w:val="23"/>
          <w:szCs w:val="23"/>
          <w:u w:val="single"/>
        </w:rPr>
        <w:t>CONCLUSION</w:t>
      </w:r>
    </w:p>
    <w:p w14:paraId="4F8768FC" w14:textId="77302F5F" w:rsidR="004B1355" w:rsidRPr="00911181" w:rsidRDefault="008871C2" w:rsidP="004B1355">
      <w:pPr>
        <w:pStyle w:val="ListParagraph"/>
        <w:numPr>
          <w:ilvl w:val="0"/>
          <w:numId w:val="3"/>
        </w:numPr>
        <w:spacing w:line="360" w:lineRule="auto"/>
        <w:ind w:left="567" w:hanging="567"/>
        <w:contextualSpacing w:val="0"/>
        <w:jc w:val="both"/>
        <w:rPr>
          <w:rFonts w:ascii="Book Antiqua" w:hAnsi="Book Antiqua"/>
          <w:sz w:val="23"/>
          <w:szCs w:val="23"/>
        </w:rPr>
      </w:pPr>
      <w:r w:rsidRPr="00C3428A">
        <w:rPr>
          <w:rFonts w:ascii="Book Antiqua" w:hAnsi="Book Antiqua"/>
          <w:sz w:val="23"/>
          <w:szCs w:val="23"/>
        </w:rPr>
        <w:t xml:space="preserve">For the reasons set out above, the Court is respectfully requested to grant an Order in the terms of </w:t>
      </w:r>
      <w:r w:rsidR="00895703">
        <w:rPr>
          <w:rFonts w:ascii="Book Antiqua" w:hAnsi="Book Antiqua"/>
          <w:sz w:val="23"/>
          <w:szCs w:val="23"/>
        </w:rPr>
        <w:t xml:space="preserve">the </w:t>
      </w:r>
      <w:r w:rsidR="00270721">
        <w:rPr>
          <w:rFonts w:ascii="Book Antiqua" w:hAnsi="Book Antiqua"/>
          <w:sz w:val="23"/>
          <w:szCs w:val="23"/>
        </w:rPr>
        <w:t>Draft Order</w:t>
      </w:r>
      <w:r w:rsidR="00911181">
        <w:rPr>
          <w:rFonts w:ascii="Book Antiqua" w:hAnsi="Book Antiqua"/>
          <w:sz w:val="23"/>
          <w:szCs w:val="23"/>
        </w:rPr>
        <w:t>.</w:t>
      </w:r>
    </w:p>
    <w:p w14:paraId="6A0B0303" w14:textId="375D5293" w:rsidR="00270721" w:rsidRDefault="00270721" w:rsidP="00911181">
      <w:pPr>
        <w:tabs>
          <w:tab w:val="left" w:pos="1230"/>
        </w:tabs>
        <w:spacing w:line="240" w:lineRule="auto"/>
        <w:jc w:val="right"/>
        <w:rPr>
          <w:rFonts w:ascii="Book Antiqua" w:hAnsi="Book Antiqua"/>
          <w:b/>
          <w:bCs/>
          <w:sz w:val="23"/>
          <w:szCs w:val="23"/>
        </w:rPr>
      </w:pPr>
      <w:r>
        <w:rPr>
          <w:rFonts w:ascii="Book Antiqua" w:hAnsi="Book Antiqua"/>
          <w:b/>
          <w:bCs/>
          <w:sz w:val="23"/>
          <w:szCs w:val="23"/>
        </w:rPr>
        <w:t>MYRIAM STACEY K</w:t>
      </w:r>
      <w:r w:rsidR="00911181">
        <w:rPr>
          <w:rFonts w:ascii="Book Antiqua" w:hAnsi="Book Antiqua"/>
          <w:b/>
          <w:bCs/>
          <w:sz w:val="23"/>
          <w:szCs w:val="23"/>
        </w:rPr>
        <w:t>C</w:t>
      </w:r>
    </w:p>
    <w:p w14:paraId="37DC3F50" w14:textId="77777777" w:rsidR="00911181" w:rsidRDefault="004B1355" w:rsidP="00911181">
      <w:pPr>
        <w:tabs>
          <w:tab w:val="left" w:pos="1230"/>
        </w:tabs>
        <w:spacing w:line="240" w:lineRule="auto"/>
        <w:jc w:val="right"/>
        <w:rPr>
          <w:rFonts w:ascii="Book Antiqua" w:hAnsi="Book Antiqua"/>
          <w:b/>
          <w:bCs/>
          <w:sz w:val="23"/>
          <w:szCs w:val="23"/>
        </w:rPr>
      </w:pPr>
      <w:r w:rsidRPr="00C3428A">
        <w:rPr>
          <w:rFonts w:ascii="Book Antiqua" w:hAnsi="Book Antiqua"/>
          <w:b/>
          <w:bCs/>
          <w:sz w:val="23"/>
          <w:szCs w:val="23"/>
        </w:rPr>
        <w:t>YAASER VANDERMA</w:t>
      </w:r>
      <w:r w:rsidR="00911181">
        <w:rPr>
          <w:rFonts w:ascii="Book Antiqua" w:hAnsi="Book Antiqua"/>
          <w:b/>
          <w:bCs/>
          <w:sz w:val="23"/>
          <w:szCs w:val="23"/>
        </w:rPr>
        <w:t>N</w:t>
      </w:r>
    </w:p>
    <w:p w14:paraId="53764973" w14:textId="7C67DED3" w:rsidR="004B1355" w:rsidRPr="00911181" w:rsidRDefault="00EF6CE0" w:rsidP="00911181">
      <w:pPr>
        <w:tabs>
          <w:tab w:val="left" w:pos="1230"/>
        </w:tabs>
        <w:spacing w:line="240" w:lineRule="auto"/>
        <w:jc w:val="right"/>
        <w:rPr>
          <w:rFonts w:ascii="Book Antiqua" w:hAnsi="Book Antiqua"/>
          <w:b/>
          <w:bCs/>
          <w:sz w:val="23"/>
          <w:szCs w:val="23"/>
        </w:rPr>
      </w:pPr>
      <w:r>
        <w:rPr>
          <w:rFonts w:ascii="Book Antiqua" w:hAnsi="Book Antiqua"/>
          <w:sz w:val="23"/>
          <w:szCs w:val="23"/>
        </w:rPr>
        <w:t>17 March</w:t>
      </w:r>
      <w:r w:rsidR="004B1355" w:rsidRPr="00C3428A">
        <w:rPr>
          <w:rFonts w:ascii="Book Antiqua" w:hAnsi="Book Antiqua"/>
          <w:sz w:val="23"/>
          <w:szCs w:val="23"/>
        </w:rPr>
        <w:t xml:space="preserve"> 202</w:t>
      </w:r>
      <w:r>
        <w:rPr>
          <w:rFonts w:ascii="Book Antiqua" w:hAnsi="Book Antiqua"/>
          <w:sz w:val="23"/>
          <w:szCs w:val="23"/>
        </w:rPr>
        <w:t>5</w:t>
      </w:r>
    </w:p>
    <w:sectPr w:rsidR="004B1355" w:rsidRPr="00911181" w:rsidSect="00D56E73">
      <w:headerReference w:type="even" r:id="rId11"/>
      <w:headerReference w:type="default" r:id="rId12"/>
      <w:footerReference w:type="even" r:id="rId13"/>
      <w:footerReference w:type="default" r:id="rId14"/>
      <w:headerReference w:type="first" r:id="rId15"/>
      <w:footerReference w:type="first" r:id="rId16"/>
      <w:pgSz w:w="12240" w:h="15840"/>
      <w:pgMar w:top="1134"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06C9F" w14:textId="77777777" w:rsidR="008B6072" w:rsidRDefault="008B6072" w:rsidP="00BE3A85">
      <w:pPr>
        <w:spacing w:after="0" w:line="240" w:lineRule="auto"/>
      </w:pPr>
      <w:r>
        <w:separator/>
      </w:r>
    </w:p>
  </w:endnote>
  <w:endnote w:type="continuationSeparator" w:id="0">
    <w:p w14:paraId="0A4A896B" w14:textId="77777777" w:rsidR="008B6072" w:rsidRDefault="008B6072" w:rsidP="00BE3A85">
      <w:pPr>
        <w:spacing w:after="0" w:line="240" w:lineRule="auto"/>
      </w:pPr>
      <w:r>
        <w:continuationSeparator/>
      </w:r>
    </w:p>
  </w:endnote>
  <w:endnote w:type="continuationNotice" w:id="1">
    <w:p w14:paraId="0CFFEF48" w14:textId="77777777" w:rsidR="008B6072" w:rsidRDefault="008B60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D2DD2" w14:textId="77777777" w:rsidR="002A58B7" w:rsidRDefault="002A5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7932768"/>
      <w:docPartObj>
        <w:docPartGallery w:val="Page Numbers (Bottom of Page)"/>
        <w:docPartUnique/>
      </w:docPartObj>
    </w:sdtPr>
    <w:sdtEndPr>
      <w:rPr>
        <w:rFonts w:ascii="Book Antiqua" w:hAnsi="Book Antiqua"/>
        <w:noProof/>
      </w:rPr>
    </w:sdtEndPr>
    <w:sdtContent>
      <w:p w14:paraId="75EF9C92" w14:textId="77777777" w:rsidR="00BE3A85" w:rsidRPr="00BE3A85" w:rsidRDefault="00BE3A85">
        <w:pPr>
          <w:pStyle w:val="Footer"/>
          <w:jc w:val="center"/>
          <w:rPr>
            <w:rFonts w:ascii="Book Antiqua" w:hAnsi="Book Antiqua"/>
          </w:rPr>
        </w:pPr>
        <w:r w:rsidRPr="00BE3A85">
          <w:rPr>
            <w:rFonts w:ascii="Book Antiqua" w:hAnsi="Book Antiqua"/>
          </w:rPr>
          <w:fldChar w:fldCharType="begin"/>
        </w:r>
        <w:r w:rsidRPr="00BE3A85">
          <w:rPr>
            <w:rFonts w:ascii="Book Antiqua" w:hAnsi="Book Antiqua"/>
          </w:rPr>
          <w:instrText xml:space="preserve"> PAGE   \* MERGEFORMAT </w:instrText>
        </w:r>
        <w:r w:rsidRPr="00BE3A85">
          <w:rPr>
            <w:rFonts w:ascii="Book Antiqua" w:hAnsi="Book Antiqua"/>
          </w:rPr>
          <w:fldChar w:fldCharType="separate"/>
        </w:r>
        <w:r w:rsidRPr="00BE3A85">
          <w:rPr>
            <w:rFonts w:ascii="Book Antiqua" w:hAnsi="Book Antiqua"/>
            <w:noProof/>
          </w:rPr>
          <w:t>2</w:t>
        </w:r>
        <w:r w:rsidRPr="00BE3A85">
          <w:rPr>
            <w:rFonts w:ascii="Book Antiqua" w:hAnsi="Book Antiqua"/>
            <w:noProof/>
          </w:rPr>
          <w:fldChar w:fldCharType="end"/>
        </w:r>
      </w:p>
    </w:sdtContent>
  </w:sdt>
  <w:p w14:paraId="04568467" w14:textId="77777777" w:rsidR="00BE3A85" w:rsidRDefault="00BE3A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D90BD" w14:textId="77777777" w:rsidR="002A58B7" w:rsidRDefault="002A5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29226" w14:textId="77777777" w:rsidR="008B6072" w:rsidRDefault="008B6072" w:rsidP="00BE3A85">
      <w:pPr>
        <w:spacing w:after="0" w:line="240" w:lineRule="auto"/>
      </w:pPr>
      <w:r>
        <w:separator/>
      </w:r>
    </w:p>
  </w:footnote>
  <w:footnote w:type="continuationSeparator" w:id="0">
    <w:p w14:paraId="21E7D946" w14:textId="77777777" w:rsidR="008B6072" w:rsidRDefault="008B6072" w:rsidP="00BE3A85">
      <w:pPr>
        <w:spacing w:after="0" w:line="240" w:lineRule="auto"/>
      </w:pPr>
      <w:r>
        <w:continuationSeparator/>
      </w:r>
    </w:p>
  </w:footnote>
  <w:footnote w:type="continuationNotice" w:id="1">
    <w:p w14:paraId="16F17053" w14:textId="77777777" w:rsidR="008B6072" w:rsidRDefault="008B6072">
      <w:pPr>
        <w:spacing w:after="0" w:line="240" w:lineRule="auto"/>
      </w:pPr>
    </w:p>
  </w:footnote>
  <w:footnote w:id="2">
    <w:p w14:paraId="53A79360" w14:textId="025571D5" w:rsidR="000C1101" w:rsidRPr="003C5FF5" w:rsidRDefault="000C1101">
      <w:pPr>
        <w:pStyle w:val="FootnoteText"/>
        <w:rPr>
          <w:rFonts w:ascii="Book Antiqua" w:hAnsi="Book Antiqua" w:cs="Times New Roman"/>
          <w:lang w:val="en-GB"/>
        </w:rPr>
      </w:pPr>
      <w:r w:rsidRPr="003C5FF5">
        <w:rPr>
          <w:rStyle w:val="FootnoteReference"/>
          <w:rFonts w:ascii="Book Antiqua" w:hAnsi="Book Antiqua" w:cs="Times New Roman"/>
        </w:rPr>
        <w:footnoteRef/>
      </w:r>
      <w:r w:rsidRPr="003C5FF5">
        <w:rPr>
          <w:rFonts w:ascii="Book Antiqua" w:hAnsi="Book Antiqua" w:cs="Times New Roman"/>
        </w:rPr>
        <w:t xml:space="preserve"> </w:t>
      </w:r>
      <w:r w:rsidRPr="003C5FF5">
        <w:rPr>
          <w:rFonts w:ascii="Book Antiqua" w:hAnsi="Book Antiqua" w:cs="Times New Roman"/>
          <w:lang w:val="en-GB"/>
        </w:rPr>
        <w:t>It is believed that they are a student-led group but the University cannot be sure whether all of those carrying out direct action are</w:t>
      </w:r>
      <w:r w:rsidR="006177F3" w:rsidRPr="003C5FF5">
        <w:rPr>
          <w:rFonts w:ascii="Book Antiqua" w:hAnsi="Book Antiqua" w:cs="Times New Roman"/>
          <w:lang w:val="en-GB"/>
        </w:rPr>
        <w:t>, in fact,</w:t>
      </w:r>
      <w:r w:rsidRPr="003C5FF5">
        <w:rPr>
          <w:rFonts w:ascii="Book Antiqua" w:hAnsi="Book Antiqua" w:cs="Times New Roman"/>
          <w:lang w:val="en-GB"/>
        </w:rPr>
        <w:t xml:space="preserve"> students of the University. </w:t>
      </w:r>
    </w:p>
  </w:footnote>
  <w:footnote w:id="3">
    <w:p w14:paraId="6D11C48A" w14:textId="7186ED47" w:rsidR="00504365" w:rsidRPr="00D83D2D" w:rsidRDefault="00504365">
      <w:pPr>
        <w:pStyle w:val="FootnoteText"/>
        <w:rPr>
          <w:rFonts w:ascii="Book Antiqua" w:hAnsi="Book Antiqua"/>
          <w:lang w:val="en-GB"/>
        </w:rPr>
      </w:pPr>
      <w:r w:rsidRPr="00D83D2D">
        <w:rPr>
          <w:rStyle w:val="FootnoteReference"/>
          <w:rFonts w:ascii="Book Antiqua" w:hAnsi="Book Antiqua"/>
        </w:rPr>
        <w:footnoteRef/>
      </w:r>
      <w:r w:rsidRPr="00D83D2D">
        <w:rPr>
          <w:rFonts w:ascii="Book Antiqua" w:hAnsi="Book Antiqua"/>
        </w:rPr>
        <w:t xml:space="preserve"> </w:t>
      </w:r>
      <w:r w:rsidRPr="00D83D2D">
        <w:rPr>
          <w:rFonts w:ascii="Book Antiqua" w:hAnsi="Book Antiqua"/>
          <w:lang w:val="en-GB"/>
        </w:rPr>
        <w:t xml:space="preserve">As Mr Nicklin J put it in </w:t>
      </w:r>
      <w:r w:rsidRPr="00143825">
        <w:rPr>
          <w:rFonts w:ascii="Book Antiqua" w:hAnsi="Book Antiqua"/>
          <w:u w:val="single"/>
          <w:lang w:val="en-GB"/>
        </w:rPr>
        <w:t>MBR Acres</w:t>
      </w:r>
      <w:r w:rsidRPr="00D83D2D">
        <w:rPr>
          <w:rFonts w:ascii="Book Antiqua" w:hAnsi="Book Antiqua"/>
          <w:lang w:val="en-GB"/>
        </w:rPr>
        <w:t xml:space="preserve"> at </w:t>
      </w:r>
      <w:r w:rsidR="005458F5" w:rsidRPr="00C3428A">
        <w:rPr>
          <w:rFonts w:ascii="Book Antiqua" w:hAnsi="Book Antiqua"/>
          <w:sz w:val="23"/>
          <w:szCs w:val="23"/>
        </w:rPr>
        <w:t>§</w:t>
      </w:r>
      <w:r w:rsidR="00AC3539" w:rsidRPr="00D83D2D">
        <w:rPr>
          <w:rFonts w:ascii="Book Antiqua" w:hAnsi="Book Antiqua"/>
        </w:rPr>
        <w:t xml:space="preserve">390, to reduce the risks of a </w:t>
      </w:r>
      <w:r w:rsidR="00AC3539" w:rsidRPr="00D83D2D">
        <w:rPr>
          <w:rFonts w:ascii="Book Antiqua" w:hAnsi="Book Antiqua"/>
          <w:i/>
          <w:iCs/>
        </w:rPr>
        <w:t xml:space="preserve">contra mundum </w:t>
      </w:r>
      <w:r w:rsidR="00AC3539" w:rsidRPr="00D83D2D">
        <w:rPr>
          <w:rFonts w:ascii="Book Antiqua" w:hAnsi="Book Antiqua"/>
        </w:rPr>
        <w:t>injunction</w:t>
      </w:r>
      <w:r w:rsidRPr="00D83D2D">
        <w:rPr>
          <w:rFonts w:ascii="Book Antiqua" w:hAnsi="Book Antiqua"/>
        </w:rPr>
        <w:t xml:space="preserve"> being used as a weapon against perceived adversaries for trivial infringemen</w:t>
      </w:r>
      <w:r w:rsidR="00AC3539" w:rsidRPr="00D83D2D">
        <w:rPr>
          <w:rFonts w:ascii="Book Antiqua" w:hAnsi="Book Antiqua"/>
        </w:rPr>
        <w:t>t</w:t>
      </w:r>
      <w:r w:rsidR="0023682E">
        <w:rPr>
          <w:rFonts w:ascii="Book Antiqua" w:hAnsi="Book Antiqua"/>
        </w:rPr>
        <w:t xml:space="preserve"> </w:t>
      </w:r>
      <w:r w:rsidR="0023682E">
        <w:rPr>
          <w:rFonts w:ascii="Book Antiqua" w:hAnsi="Book Antiqua"/>
          <w:b/>
          <w:bCs/>
        </w:rPr>
        <w:t>[AB/</w:t>
      </w:r>
      <w:r w:rsidR="00D3284F">
        <w:rPr>
          <w:rFonts w:ascii="Book Antiqua" w:hAnsi="Book Antiqua"/>
          <w:b/>
          <w:bCs/>
        </w:rPr>
        <w:t>15/515]</w:t>
      </w:r>
      <w:r w:rsidR="00AC3539" w:rsidRPr="00D83D2D">
        <w:rPr>
          <w:rFonts w:ascii="Book Antiqua" w:hAnsi="Book Antiqua"/>
        </w:rPr>
        <w:t xml:space="preserve">. </w:t>
      </w:r>
    </w:p>
  </w:footnote>
  <w:footnote w:id="4">
    <w:p w14:paraId="6F3A972C" w14:textId="48AC2BFD" w:rsidR="00B56821" w:rsidRPr="003C5FF5" w:rsidRDefault="00B56821" w:rsidP="00B56821">
      <w:pPr>
        <w:pStyle w:val="FootnoteText"/>
        <w:rPr>
          <w:rFonts w:ascii="Book Antiqua" w:hAnsi="Book Antiqua" w:cs="Times New Roman"/>
          <w:lang w:val="en-GB"/>
        </w:rPr>
      </w:pPr>
      <w:r w:rsidRPr="003C5FF5">
        <w:rPr>
          <w:rStyle w:val="FootnoteReference"/>
          <w:rFonts w:ascii="Book Antiqua" w:hAnsi="Book Antiqua" w:cs="Times New Roman"/>
        </w:rPr>
        <w:footnoteRef/>
      </w:r>
      <w:r w:rsidRPr="003C5FF5">
        <w:rPr>
          <w:rFonts w:ascii="Book Antiqua" w:hAnsi="Book Antiqua" w:cs="Times New Roman"/>
        </w:rPr>
        <w:t xml:space="preserve"> </w:t>
      </w:r>
      <w:r w:rsidRPr="003C5FF5">
        <w:rPr>
          <w:rFonts w:ascii="Book Antiqua" w:hAnsi="Book Antiqua" w:cs="Times New Roman"/>
          <w:lang w:val="en-GB"/>
        </w:rPr>
        <w:t xml:space="preserve">See Y Vanderman, </w:t>
      </w:r>
      <w:r w:rsidRPr="003C5FF5">
        <w:rPr>
          <w:rFonts w:ascii="Book Antiqua" w:hAnsi="Book Antiqua" w:cs="Times New Roman"/>
          <w:u w:val="single"/>
          <w:lang w:val="en-GB"/>
        </w:rPr>
        <w:t>Manual on Protest Injunctions</w:t>
      </w:r>
      <w:r w:rsidRPr="003C5FF5">
        <w:rPr>
          <w:rFonts w:ascii="Book Antiqua" w:hAnsi="Book Antiqua" w:cs="Times New Roman"/>
          <w:i/>
          <w:iCs/>
          <w:lang w:val="en-GB"/>
        </w:rPr>
        <w:t xml:space="preserve"> </w:t>
      </w:r>
      <w:r w:rsidRPr="003C5FF5">
        <w:rPr>
          <w:rFonts w:ascii="Book Antiqua" w:hAnsi="Book Antiqua" w:cs="Times New Roman"/>
          <w:lang w:val="en-GB"/>
        </w:rPr>
        <w:t>(v.2, 2024), §5.10</w:t>
      </w:r>
      <w:r w:rsidR="00D3284F">
        <w:rPr>
          <w:rFonts w:ascii="Book Antiqua" w:hAnsi="Book Antiqua" w:cs="Times New Roman"/>
          <w:lang w:val="en-GB"/>
        </w:rPr>
        <w:t xml:space="preserve"> </w:t>
      </w:r>
      <w:r w:rsidR="00D3284F">
        <w:rPr>
          <w:rFonts w:ascii="Book Antiqua" w:hAnsi="Book Antiqua" w:cs="Times New Roman"/>
          <w:b/>
          <w:bCs/>
          <w:lang w:val="en-GB"/>
        </w:rPr>
        <w:t>[AB/17/</w:t>
      </w:r>
      <w:r w:rsidR="00C700E2">
        <w:rPr>
          <w:rFonts w:ascii="Book Antiqua" w:hAnsi="Book Antiqua" w:cs="Times New Roman"/>
          <w:b/>
          <w:bCs/>
          <w:lang w:val="en-GB"/>
        </w:rPr>
        <w:t>568]</w:t>
      </w:r>
      <w:r w:rsidRPr="003C5FF5">
        <w:rPr>
          <w:rFonts w:ascii="Book Antiqua" w:hAnsi="Book Antiqua" w:cs="Times New Roman"/>
          <w:lang w:val="en-GB"/>
        </w:rPr>
        <w:t>.</w:t>
      </w:r>
    </w:p>
  </w:footnote>
  <w:footnote w:id="5">
    <w:p w14:paraId="758A3D6D" w14:textId="4FB0C2C9" w:rsidR="00885065" w:rsidRPr="003C5FF5" w:rsidRDefault="00885065">
      <w:pPr>
        <w:pStyle w:val="FootnoteText"/>
        <w:rPr>
          <w:rFonts w:ascii="Book Antiqua" w:hAnsi="Book Antiqua"/>
          <w:lang w:val="en-GB"/>
        </w:rPr>
      </w:pPr>
      <w:r w:rsidRPr="003C5FF5">
        <w:rPr>
          <w:rStyle w:val="FootnoteReference"/>
          <w:rFonts w:ascii="Book Antiqua" w:hAnsi="Book Antiqua"/>
        </w:rPr>
        <w:footnoteRef/>
      </w:r>
      <w:r w:rsidRPr="003C5FF5">
        <w:rPr>
          <w:rFonts w:ascii="Book Antiqua" w:hAnsi="Book Antiqua"/>
        </w:rPr>
        <w:t xml:space="preserve"> It reserves the right to argue the contrary at any future hearing.</w:t>
      </w:r>
    </w:p>
  </w:footnote>
  <w:footnote w:id="6">
    <w:p w14:paraId="03797D41" w14:textId="463E2888" w:rsidR="00B15785" w:rsidRPr="003C5FF5" w:rsidRDefault="00B15785">
      <w:pPr>
        <w:pStyle w:val="FootnoteText"/>
        <w:rPr>
          <w:rFonts w:ascii="Book Antiqua" w:hAnsi="Book Antiqua" w:cs="Times New Roman"/>
          <w:lang w:val="en-GB"/>
        </w:rPr>
      </w:pPr>
      <w:r w:rsidRPr="003C5FF5">
        <w:rPr>
          <w:rStyle w:val="FootnoteReference"/>
          <w:rFonts w:ascii="Book Antiqua" w:hAnsi="Book Antiqua" w:cs="Times New Roman"/>
        </w:rPr>
        <w:footnoteRef/>
      </w:r>
      <w:r w:rsidRPr="003C5FF5">
        <w:rPr>
          <w:rFonts w:ascii="Book Antiqua" w:hAnsi="Book Antiqua" w:cs="Times New Roman"/>
        </w:rPr>
        <w:t xml:space="preserve"> </w:t>
      </w:r>
      <w:r w:rsidRPr="003C5FF5">
        <w:rPr>
          <w:rFonts w:ascii="Book Antiqua" w:hAnsi="Book Antiqua" w:cs="Times New Roman"/>
          <w:lang w:val="en-GB"/>
        </w:rPr>
        <w:t xml:space="preserve">In a recent possession claim on similar facts, Johnson J </w:t>
      </w:r>
      <w:r w:rsidR="002D60AC" w:rsidRPr="003C5FF5">
        <w:rPr>
          <w:rFonts w:ascii="Book Antiqua" w:hAnsi="Book Antiqua" w:cs="Times New Roman"/>
          <w:lang w:val="en-GB"/>
        </w:rPr>
        <w:t>proceeded</w:t>
      </w:r>
      <w:r w:rsidR="0062605D" w:rsidRPr="003C5FF5">
        <w:rPr>
          <w:rFonts w:ascii="Book Antiqua" w:hAnsi="Book Antiqua" w:cs="Times New Roman"/>
          <w:lang w:val="en-GB"/>
        </w:rPr>
        <w:t xml:space="preserve"> (at the </w:t>
      </w:r>
      <w:r w:rsidR="00FF08C0" w:rsidRPr="003C5FF5">
        <w:rPr>
          <w:rFonts w:ascii="Book Antiqua" w:hAnsi="Book Antiqua" w:cs="Times New Roman"/>
          <w:lang w:val="en-GB"/>
        </w:rPr>
        <w:t>first hearing)</w:t>
      </w:r>
      <w:r w:rsidR="002D60AC" w:rsidRPr="003C5FF5">
        <w:rPr>
          <w:rFonts w:ascii="Book Antiqua" w:hAnsi="Book Antiqua" w:cs="Times New Roman"/>
          <w:lang w:val="en-GB"/>
        </w:rPr>
        <w:t xml:space="preserve"> on the basis that </w:t>
      </w:r>
      <w:r w:rsidR="006C1824" w:rsidRPr="003C5FF5">
        <w:rPr>
          <w:rFonts w:ascii="Book Antiqua" w:hAnsi="Book Antiqua" w:cs="Times New Roman"/>
          <w:lang w:val="en-GB"/>
        </w:rPr>
        <w:t>there was a real prospect of establishing that</w:t>
      </w:r>
      <w:r w:rsidR="00174906" w:rsidRPr="003C5FF5">
        <w:rPr>
          <w:rFonts w:ascii="Book Antiqua" w:hAnsi="Book Antiqua" w:cs="Times New Roman"/>
          <w:lang w:val="en-GB"/>
        </w:rPr>
        <w:t xml:space="preserve"> a University seeking</w:t>
      </w:r>
      <w:r w:rsidR="002D60AC" w:rsidRPr="003C5FF5">
        <w:rPr>
          <w:rFonts w:ascii="Book Antiqua" w:hAnsi="Book Antiqua" w:cs="Times New Roman"/>
          <w:lang w:val="en-GB"/>
        </w:rPr>
        <w:t xml:space="preserve"> a possession order could amount to the exercise of public functions:</w:t>
      </w:r>
      <w:r w:rsidR="005B181F" w:rsidRPr="003C5FF5">
        <w:rPr>
          <w:rFonts w:ascii="Book Antiqua" w:hAnsi="Book Antiqua" w:cs="Times New Roman"/>
          <w:lang w:val="en-GB"/>
        </w:rPr>
        <w:t xml:space="preserve"> </w:t>
      </w:r>
      <w:r w:rsidR="005B181F" w:rsidRPr="003C5FF5">
        <w:rPr>
          <w:rFonts w:ascii="Book Antiqua" w:hAnsi="Book Antiqua" w:cs="Times New Roman"/>
          <w:u w:val="single"/>
          <w:lang w:val="en-GB"/>
        </w:rPr>
        <w:t>University of Birmingham v Ali</w:t>
      </w:r>
      <w:r w:rsidR="005B181F" w:rsidRPr="003C5FF5">
        <w:rPr>
          <w:rFonts w:ascii="Book Antiqua" w:hAnsi="Book Antiqua" w:cs="Times New Roman"/>
          <w:lang w:val="en-GB"/>
        </w:rPr>
        <w:t xml:space="preserve"> [2024] EWHC 1770, §</w:t>
      </w:r>
      <w:r w:rsidR="00267496" w:rsidRPr="003C5FF5">
        <w:rPr>
          <w:rFonts w:ascii="Book Antiqua" w:hAnsi="Book Antiqua" w:cs="Times New Roman"/>
          <w:lang w:val="en-GB"/>
        </w:rPr>
        <w:t>§</w:t>
      </w:r>
      <w:r w:rsidR="005B181F" w:rsidRPr="003C5FF5">
        <w:rPr>
          <w:rFonts w:ascii="Book Antiqua" w:hAnsi="Book Antiqua" w:cs="Times New Roman"/>
          <w:lang w:val="en-GB"/>
        </w:rPr>
        <w:t>50</w:t>
      </w:r>
      <w:r w:rsidR="00267496" w:rsidRPr="003C5FF5">
        <w:rPr>
          <w:rFonts w:ascii="Book Antiqua" w:hAnsi="Book Antiqua" w:cs="Times New Roman"/>
          <w:lang w:val="en-GB"/>
        </w:rPr>
        <w:t xml:space="preserve"> and 60</w:t>
      </w:r>
      <w:r w:rsidR="00E36BA8" w:rsidRPr="003C5FF5">
        <w:rPr>
          <w:rFonts w:ascii="Book Antiqua" w:hAnsi="Book Antiqua" w:cs="Times New Roman"/>
          <w:lang w:val="en-GB"/>
        </w:rPr>
        <w:t xml:space="preserve"> </w:t>
      </w:r>
      <w:r w:rsidR="00E36BA8" w:rsidRPr="003C5FF5">
        <w:rPr>
          <w:rFonts w:ascii="Book Antiqua" w:hAnsi="Book Antiqua" w:cs="Times New Roman"/>
          <w:b/>
          <w:bCs/>
        </w:rPr>
        <w:t xml:space="preserve">[AB/8/257 and </w:t>
      </w:r>
      <w:r w:rsidR="00886B5C" w:rsidRPr="003C5FF5">
        <w:rPr>
          <w:rFonts w:ascii="Book Antiqua" w:hAnsi="Book Antiqua" w:cs="Times New Roman"/>
          <w:b/>
          <w:bCs/>
        </w:rPr>
        <w:t>260</w:t>
      </w:r>
      <w:r w:rsidR="00E36BA8" w:rsidRPr="003C5FF5">
        <w:rPr>
          <w:rFonts w:ascii="Book Antiqua" w:hAnsi="Book Antiqua" w:cs="Times New Roman"/>
          <w:b/>
          <w:bCs/>
        </w:rPr>
        <w:t>]</w:t>
      </w:r>
      <w:r w:rsidR="005B181F" w:rsidRPr="003C5FF5">
        <w:rPr>
          <w:rFonts w:ascii="Book Antiqua" w:hAnsi="Book Antiqua" w:cs="Times New Roman"/>
          <w:lang w:val="en-GB"/>
        </w:rPr>
        <w:t>.</w:t>
      </w:r>
      <w:r w:rsidR="006C1824" w:rsidRPr="003C5FF5">
        <w:rPr>
          <w:rFonts w:ascii="Book Antiqua" w:hAnsi="Book Antiqua" w:cs="Times New Roman"/>
          <w:lang w:val="en-GB"/>
        </w:rPr>
        <w:t xml:space="preserve"> He, nevertheless, found that</w:t>
      </w:r>
      <w:r w:rsidR="00612843" w:rsidRPr="003C5FF5">
        <w:rPr>
          <w:rFonts w:ascii="Book Antiqua" w:hAnsi="Book Antiqua" w:cs="Times New Roman"/>
          <w:lang w:val="en-GB"/>
        </w:rPr>
        <w:t xml:space="preserve"> there was no real prospect of </w:t>
      </w:r>
      <w:r w:rsidR="00CE1B7F" w:rsidRPr="003C5FF5">
        <w:rPr>
          <w:rFonts w:ascii="Book Antiqua" w:hAnsi="Book Antiqua" w:cs="Times New Roman"/>
          <w:lang w:val="en-GB"/>
        </w:rPr>
        <w:t>a successful ECHR claim as “</w:t>
      </w:r>
      <w:r w:rsidR="00CE1B7F" w:rsidRPr="003C5FF5">
        <w:rPr>
          <w:rFonts w:ascii="Book Antiqua" w:hAnsi="Book Antiqua" w:cs="Times New Roman"/>
          <w:i/>
          <w:iCs/>
          <w:lang w:val="en-GB"/>
        </w:rPr>
        <w:t>the severity of the impact on Ms Ali's rights does not (by a significant margin) come anywhere close to outweighing the importance of the objective of the University being able to regain possession of its own land</w:t>
      </w:r>
      <w:r w:rsidR="00CE1B7F" w:rsidRPr="003C5FF5">
        <w:rPr>
          <w:rFonts w:ascii="Book Antiqua" w:hAnsi="Book Antiqua" w:cs="Times New Roman"/>
          <w:lang w:val="en-GB"/>
        </w:rPr>
        <w:t xml:space="preserve">.”: </w:t>
      </w:r>
      <w:r w:rsidR="00987D29" w:rsidRPr="003C5FF5">
        <w:rPr>
          <w:rFonts w:ascii="Book Antiqua" w:hAnsi="Book Antiqua" w:cs="Times New Roman"/>
          <w:lang w:val="en-GB"/>
        </w:rPr>
        <w:t>§§74-75.</w:t>
      </w:r>
      <w:r w:rsidR="00FF08C0" w:rsidRPr="003C5FF5">
        <w:rPr>
          <w:rFonts w:ascii="Book Antiqua" w:hAnsi="Book Antiqua" w:cs="Times New Roman"/>
          <w:lang w:val="en-GB"/>
        </w:rPr>
        <w:t xml:space="preserve"> A very similar approach was taken in </w:t>
      </w:r>
      <w:r w:rsidR="00E5215E" w:rsidRPr="003C5FF5">
        <w:rPr>
          <w:rFonts w:ascii="Book Antiqua" w:hAnsi="Book Antiqua" w:cs="Times New Roman"/>
          <w:u w:val="single"/>
          <w:lang w:val="en-GB"/>
        </w:rPr>
        <w:t>QMUL v Persons Unknown</w:t>
      </w:r>
      <w:r w:rsidR="00E5215E" w:rsidRPr="003C5FF5">
        <w:rPr>
          <w:rFonts w:ascii="Book Antiqua" w:hAnsi="Book Antiqua" w:cs="Times New Roman"/>
          <w:lang w:val="en-GB"/>
        </w:rPr>
        <w:t xml:space="preserve"> [2024] EWHC 2386</w:t>
      </w:r>
      <w:r w:rsidR="00027484" w:rsidRPr="003C5FF5">
        <w:rPr>
          <w:rFonts w:ascii="Book Antiqua" w:hAnsi="Book Antiqua" w:cs="Times New Roman"/>
          <w:lang w:val="en-GB"/>
        </w:rPr>
        <w:t xml:space="preserve">, </w:t>
      </w:r>
      <w:r w:rsidR="0053358F" w:rsidRPr="003C5FF5">
        <w:rPr>
          <w:rFonts w:ascii="Book Antiqua" w:hAnsi="Book Antiqua" w:cs="Times New Roman"/>
          <w:lang w:val="en-GB"/>
        </w:rPr>
        <w:t>§§</w:t>
      </w:r>
      <w:r w:rsidR="00027484" w:rsidRPr="003C5FF5">
        <w:rPr>
          <w:rFonts w:ascii="Book Antiqua" w:hAnsi="Book Antiqua" w:cs="Times New Roman"/>
          <w:lang w:val="en-GB"/>
        </w:rPr>
        <w:t>40-</w:t>
      </w:r>
      <w:r w:rsidR="0053358F" w:rsidRPr="003C5FF5">
        <w:rPr>
          <w:rFonts w:ascii="Book Antiqua" w:hAnsi="Book Antiqua" w:cs="Times New Roman"/>
          <w:lang w:val="en-GB"/>
        </w:rPr>
        <w:t>59</w:t>
      </w:r>
      <w:r w:rsidR="00E5215E" w:rsidRPr="003C5FF5">
        <w:rPr>
          <w:rFonts w:ascii="Book Antiqua" w:hAnsi="Book Antiqua" w:cs="Times New Roman"/>
          <w:lang w:val="en-GB"/>
        </w:rPr>
        <w:t xml:space="preserve"> (Deputy Master Henderson)</w:t>
      </w:r>
      <w:r w:rsidR="00886B5C" w:rsidRPr="003C5FF5">
        <w:rPr>
          <w:rFonts w:ascii="Book Antiqua" w:hAnsi="Book Antiqua" w:cs="Times New Roman"/>
          <w:lang w:val="en-GB"/>
        </w:rPr>
        <w:t xml:space="preserve"> </w:t>
      </w:r>
      <w:r w:rsidR="00886B5C" w:rsidRPr="003C5FF5">
        <w:rPr>
          <w:rFonts w:ascii="Book Antiqua" w:hAnsi="Book Antiqua" w:cs="Times New Roman"/>
          <w:b/>
          <w:bCs/>
        </w:rPr>
        <w:t>[AB/12/</w:t>
      </w:r>
      <w:r w:rsidR="00B72A2E" w:rsidRPr="003C5FF5">
        <w:rPr>
          <w:rFonts w:ascii="Book Antiqua" w:hAnsi="Book Antiqua" w:cs="Times New Roman"/>
          <w:b/>
          <w:bCs/>
        </w:rPr>
        <w:t>358</w:t>
      </w:r>
      <w:r w:rsidR="00886B5C" w:rsidRPr="003C5FF5">
        <w:rPr>
          <w:rFonts w:ascii="Book Antiqua" w:hAnsi="Book Antiqua" w:cs="Times New Roman"/>
          <w:b/>
          <w:bCs/>
        </w:rPr>
        <w:t>]</w:t>
      </w:r>
      <w:r w:rsidR="00E5215E" w:rsidRPr="003C5FF5">
        <w:rPr>
          <w:rFonts w:ascii="Book Antiqua" w:hAnsi="Book Antiqua" w:cs="Times New Roman"/>
          <w:lang w:val="en-GB"/>
        </w:rPr>
        <w:t>.</w:t>
      </w:r>
    </w:p>
  </w:footnote>
  <w:footnote w:id="7">
    <w:p w14:paraId="48C06CAA" w14:textId="77777777" w:rsidR="00EF349F" w:rsidRPr="003C5FF5" w:rsidRDefault="00EF349F" w:rsidP="00EF349F">
      <w:pPr>
        <w:pStyle w:val="FootnoteText"/>
        <w:rPr>
          <w:rFonts w:ascii="Book Antiqua" w:hAnsi="Book Antiqua" w:cs="Times New Roman"/>
          <w:lang w:val="en-GB"/>
        </w:rPr>
      </w:pPr>
      <w:r w:rsidRPr="003C5FF5">
        <w:rPr>
          <w:rStyle w:val="FootnoteReference"/>
          <w:rFonts w:ascii="Book Antiqua" w:hAnsi="Book Antiqua" w:cs="Times New Roman"/>
        </w:rPr>
        <w:footnoteRef/>
      </w:r>
      <w:r w:rsidRPr="003C5FF5">
        <w:rPr>
          <w:rFonts w:ascii="Book Antiqua" w:hAnsi="Book Antiqua" w:cs="Times New Roman"/>
        </w:rPr>
        <w:t xml:space="preserve"> </w:t>
      </w:r>
      <w:r w:rsidRPr="003C5FF5">
        <w:rPr>
          <w:rFonts w:ascii="Book Antiqua" w:hAnsi="Book Antiqua" w:cs="Times New Roman"/>
          <w:u w:val="single"/>
          <w:lang w:val="en-GB"/>
        </w:rPr>
        <w:t>Valero Energy Ltd v PU</w:t>
      </w:r>
      <w:r w:rsidRPr="003C5FF5">
        <w:rPr>
          <w:rFonts w:ascii="Book Antiqua" w:hAnsi="Book Antiqua" w:cs="Times New Roman"/>
          <w:i/>
          <w:iCs/>
          <w:lang w:val="en-GB"/>
        </w:rPr>
        <w:t xml:space="preserve"> </w:t>
      </w:r>
      <w:r w:rsidRPr="003C5FF5">
        <w:rPr>
          <w:rFonts w:ascii="Book Antiqua" w:hAnsi="Book Antiqua" w:cs="Times New Roman"/>
          <w:lang w:val="en-GB"/>
        </w:rPr>
        <w:t xml:space="preserve">[2024] EWHC 134 (KB) (Ritchie J) (26 Jan 2024); </w:t>
      </w:r>
      <w:r w:rsidRPr="003C5FF5">
        <w:rPr>
          <w:rFonts w:ascii="Book Antiqua" w:hAnsi="Book Antiqua" w:cs="Times New Roman"/>
          <w:u w:val="single"/>
          <w:lang w:val="en-GB"/>
        </w:rPr>
        <w:t>Exolum Pipeline Systems Ltd v PU</w:t>
      </w:r>
      <w:r w:rsidRPr="003C5FF5">
        <w:rPr>
          <w:rFonts w:ascii="Book Antiqua" w:hAnsi="Book Antiqua" w:cs="Times New Roman"/>
          <w:lang w:val="en-GB"/>
        </w:rPr>
        <w:t xml:space="preserve"> [2024] EWHC 1015 (Farbey J) (20 Feb 2024); </w:t>
      </w:r>
      <w:r w:rsidRPr="003C5FF5">
        <w:rPr>
          <w:rFonts w:ascii="Book Antiqua" w:hAnsi="Book Antiqua" w:cs="Times New Roman"/>
          <w:u w:val="single"/>
          <w:lang w:val="en-GB"/>
        </w:rPr>
        <w:t>1 Leadenhall Group London v PU</w:t>
      </w:r>
      <w:r w:rsidRPr="003C5FF5">
        <w:rPr>
          <w:rFonts w:ascii="Book Antiqua" w:hAnsi="Book Antiqua" w:cs="Times New Roman"/>
          <w:lang w:val="en-GB"/>
        </w:rPr>
        <w:t xml:space="preserve"> [2024] EWHC 854 (8 Mar 2024); </w:t>
      </w:r>
      <w:r w:rsidRPr="003C5FF5">
        <w:rPr>
          <w:rFonts w:ascii="Book Antiqua" w:hAnsi="Book Antiqua" w:cs="Times New Roman"/>
          <w:u w:val="single"/>
          <w:lang w:val="en-GB"/>
        </w:rPr>
        <w:t>HS2 v PU</w:t>
      </w:r>
      <w:r w:rsidRPr="003C5FF5">
        <w:rPr>
          <w:rFonts w:ascii="Book Antiqua" w:hAnsi="Book Antiqua" w:cs="Times New Roman"/>
          <w:lang w:val="en-GB"/>
        </w:rPr>
        <w:t xml:space="preserve"> [2024] EWHC 1277 (Ritchie J) (24 May 2024); </w:t>
      </w:r>
      <w:r w:rsidRPr="003C5FF5">
        <w:rPr>
          <w:rFonts w:ascii="Book Antiqua" w:hAnsi="Book Antiqua" w:cs="Times New Roman"/>
          <w:u w:val="single"/>
          <w:lang w:val="en-GB"/>
        </w:rPr>
        <w:t>Jockey Club Racecourses Ltd v PU</w:t>
      </w:r>
      <w:r w:rsidRPr="003C5FF5">
        <w:rPr>
          <w:rFonts w:ascii="Book Antiqua" w:hAnsi="Book Antiqua" w:cs="Times New Roman"/>
          <w:lang w:val="en-GB"/>
        </w:rPr>
        <w:t xml:space="preserve"> [2024] EWHC 1786 (Sir Anthony Mann) (9 Jul 2024); </w:t>
      </w:r>
      <w:r w:rsidRPr="003C5FF5">
        <w:rPr>
          <w:rFonts w:ascii="Book Antiqua" w:hAnsi="Book Antiqua" w:cs="Times New Roman"/>
          <w:u w:val="single"/>
          <w:lang w:val="en-GB"/>
        </w:rPr>
        <w:t>Leeds Bradford Airport Ltd v PU</w:t>
      </w:r>
      <w:r w:rsidRPr="003C5FF5">
        <w:rPr>
          <w:rFonts w:ascii="Book Antiqua" w:hAnsi="Book Antiqua" w:cs="Times New Roman"/>
          <w:lang w:val="en-GB"/>
        </w:rPr>
        <w:t xml:space="preserve"> [2024] EWHC 2274 (Ritchie J) (18 Jul 2024); </w:t>
      </w:r>
      <w:r w:rsidRPr="003C5FF5">
        <w:rPr>
          <w:rFonts w:ascii="Book Antiqua" w:hAnsi="Book Antiqua" w:cs="Times New Roman"/>
          <w:u w:val="single"/>
          <w:lang w:val="en-GB"/>
        </w:rPr>
        <w:t>Manchester Airport v PU</w:t>
      </w:r>
      <w:r w:rsidRPr="003C5FF5">
        <w:rPr>
          <w:rFonts w:ascii="Book Antiqua" w:hAnsi="Book Antiqua" w:cs="Times New Roman"/>
          <w:lang w:val="en-GB"/>
        </w:rPr>
        <w:t xml:space="preserve"> [2024] EWHC 2247 (HHJ Coe KC) (24 Jul 2024); </w:t>
      </w:r>
      <w:r w:rsidRPr="003C5FF5">
        <w:rPr>
          <w:rFonts w:ascii="Book Antiqua" w:hAnsi="Book Antiqua" w:cs="Times New Roman"/>
          <w:u w:val="single"/>
          <w:lang w:val="en-GB"/>
        </w:rPr>
        <w:t>Drax Power Ltd v PU</w:t>
      </w:r>
      <w:r w:rsidRPr="003C5FF5">
        <w:rPr>
          <w:rFonts w:ascii="Book Antiqua" w:hAnsi="Book Antiqua" w:cs="Times New Roman"/>
          <w:lang w:val="en-GB"/>
        </w:rPr>
        <w:t xml:space="preserve"> [2024] EWHC 2224 (Ritchie J) (25 Jul 2024); </w:t>
      </w:r>
      <w:r w:rsidRPr="003C5FF5">
        <w:rPr>
          <w:rFonts w:ascii="Book Antiqua" w:hAnsi="Book Antiqua" w:cs="Times New Roman"/>
          <w:u w:val="single"/>
          <w:lang w:val="en-GB"/>
        </w:rPr>
        <w:t>Arla Foods v PU</w:t>
      </w:r>
      <w:r w:rsidRPr="003C5FF5">
        <w:rPr>
          <w:rFonts w:ascii="Book Antiqua" w:hAnsi="Book Antiqua" w:cs="Times New Roman"/>
          <w:lang w:val="en-GB"/>
        </w:rPr>
        <w:t xml:space="preserve"> [2024] EWHC 1952 (Jonathan Hilliard KC) (26 Jul 2024); </w:t>
      </w:r>
      <w:r w:rsidRPr="003C5FF5">
        <w:rPr>
          <w:rFonts w:ascii="Book Antiqua" w:hAnsi="Book Antiqua" w:cs="Times New Roman"/>
          <w:u w:val="single"/>
          <w:lang w:val="en-GB"/>
        </w:rPr>
        <w:t>Tendring DC v PU</w:t>
      </w:r>
      <w:r w:rsidRPr="003C5FF5">
        <w:rPr>
          <w:rFonts w:ascii="Book Antiqua" w:hAnsi="Book Antiqua" w:cs="Times New Roman"/>
          <w:lang w:val="en-GB"/>
        </w:rPr>
        <w:t xml:space="preserve"> [2024] EWHC 2237 (Ritchie J) (31 Jul 2024); </w:t>
      </w:r>
      <w:r w:rsidRPr="003C5FF5">
        <w:rPr>
          <w:rFonts w:ascii="Book Antiqua" w:hAnsi="Book Antiqua" w:cs="Times New Roman"/>
          <w:u w:val="single"/>
          <w:lang w:val="en-GB"/>
        </w:rPr>
        <w:t>N Warwickshire BC v PU</w:t>
      </w:r>
      <w:r w:rsidRPr="003C5FF5">
        <w:rPr>
          <w:rFonts w:ascii="Book Antiqua" w:hAnsi="Book Antiqua" w:cs="Times New Roman"/>
          <w:lang w:val="en-GB"/>
        </w:rPr>
        <w:t xml:space="preserve"> [2024] EWHC 2254 (HHJ E Kelly) (6 Sep 2024); </w:t>
      </w:r>
      <w:r w:rsidRPr="003C5FF5">
        <w:rPr>
          <w:rFonts w:ascii="Book Antiqua" w:hAnsi="Book Antiqua" w:cs="Times New Roman"/>
          <w:u w:val="single"/>
          <w:lang w:val="en-GB"/>
        </w:rPr>
        <w:t>London City Airport Ltd v PU</w:t>
      </w:r>
      <w:r w:rsidRPr="003C5FF5">
        <w:rPr>
          <w:rFonts w:ascii="Book Antiqua" w:hAnsi="Book Antiqua" w:cs="Times New Roman"/>
          <w:lang w:val="en-GB"/>
        </w:rPr>
        <w:t xml:space="preserve"> [2024] EWHC 2557 (Julian Knowles J) (11 Oct 2024); </w:t>
      </w:r>
      <w:r w:rsidRPr="003C5FF5">
        <w:rPr>
          <w:rFonts w:ascii="Book Antiqua" w:hAnsi="Book Antiqua" w:cs="Times New Roman"/>
          <w:u w:val="single"/>
          <w:lang w:val="en-GB"/>
        </w:rPr>
        <w:t xml:space="preserve">Thurrock Council v Adams </w:t>
      </w:r>
      <w:r w:rsidRPr="003C5FF5">
        <w:rPr>
          <w:rFonts w:ascii="Book Antiqua" w:hAnsi="Book Antiqua" w:cs="Times New Roman"/>
          <w:lang w:val="en-GB"/>
        </w:rPr>
        <w:t xml:space="preserve">[2024] EWHC 2576 (Julian Knowles J) (11 Oct 2024); </w:t>
      </w:r>
      <w:r w:rsidRPr="003C5FF5">
        <w:rPr>
          <w:rFonts w:ascii="Book Antiqua" w:hAnsi="Book Antiqua" w:cs="Times New Roman"/>
          <w:u w:val="single"/>
          <w:lang w:val="en-GB"/>
        </w:rPr>
        <w:t>Heathrow Airport Ltd v PU</w:t>
      </w:r>
      <w:r w:rsidRPr="003C5FF5">
        <w:rPr>
          <w:rFonts w:ascii="Book Antiqua" w:hAnsi="Book Antiqua" w:cs="Times New Roman"/>
          <w:lang w:val="en-GB"/>
        </w:rPr>
        <w:t xml:space="preserve"> [2024] EWHC 2599 (Julian Knowles J) (14 Oct 2024); </w:t>
      </w:r>
      <w:r w:rsidRPr="003C5FF5">
        <w:rPr>
          <w:rFonts w:ascii="Book Antiqua" w:hAnsi="Book Antiqua" w:cs="Times New Roman"/>
          <w:u w:val="single"/>
          <w:lang w:val="en-GB"/>
        </w:rPr>
        <w:t>Shell UK Ltd v PU</w:t>
      </w:r>
      <w:r w:rsidRPr="003C5FF5">
        <w:rPr>
          <w:rFonts w:ascii="Book Antiqua" w:hAnsi="Book Antiqua" w:cs="Times New Roman"/>
          <w:lang w:val="en-GB"/>
        </w:rPr>
        <w:t xml:space="preserve"> [2024] EWHC 3130 (Dexter Dias J) (5 Dec 2024); ; </w:t>
      </w:r>
      <w:r w:rsidRPr="003C5FF5">
        <w:rPr>
          <w:rFonts w:ascii="Book Antiqua" w:hAnsi="Book Antiqua" w:cs="Times New Roman"/>
          <w:u w:val="single"/>
          <w:lang w:val="en-GB"/>
        </w:rPr>
        <w:t xml:space="preserve">Teledyne UK Ltd v Gao </w:t>
      </w:r>
      <w:r w:rsidRPr="003C5FF5">
        <w:rPr>
          <w:rFonts w:ascii="Book Antiqua" w:hAnsi="Book Antiqua" w:cs="Times New Roman"/>
          <w:lang w:val="en-GB"/>
        </w:rPr>
        <w:t xml:space="preserve">[2024] EWHC 3538 (Bourne J) (20 Dec 2024); </w:t>
      </w:r>
      <w:r w:rsidRPr="003C5FF5">
        <w:rPr>
          <w:rFonts w:ascii="Book Antiqua" w:hAnsi="Book Antiqua" w:cs="Times New Roman"/>
          <w:u w:val="single"/>
          <w:lang w:val="en-GB"/>
        </w:rPr>
        <w:t>TfL v PU</w:t>
      </w:r>
      <w:r w:rsidRPr="003C5FF5">
        <w:rPr>
          <w:rFonts w:ascii="Book Antiqua" w:hAnsi="Book Antiqua" w:cs="Times New Roman"/>
          <w:lang w:val="en-GB"/>
        </w:rPr>
        <w:t xml:space="preserve"> [2025] EWHC 55 (Morris J) (16 Jan 2025); </w:t>
      </w:r>
      <w:r w:rsidRPr="003C5FF5">
        <w:rPr>
          <w:rFonts w:ascii="Book Antiqua" w:hAnsi="Book Antiqua" w:cs="Times New Roman"/>
          <w:u w:val="single"/>
          <w:lang w:val="en-GB"/>
        </w:rPr>
        <w:t>Enfield LBC v PU</w:t>
      </w:r>
      <w:r w:rsidRPr="003C5FF5">
        <w:rPr>
          <w:rFonts w:ascii="Book Antiqua" w:hAnsi="Book Antiqua" w:cs="Times New Roman"/>
          <w:lang w:val="en-GB"/>
        </w:rPr>
        <w:t xml:space="preserve"> [2025] EWHC 288 (Jason Beer KC) (12 Feb 2025).</w:t>
      </w:r>
    </w:p>
  </w:footnote>
  <w:footnote w:id="8">
    <w:p w14:paraId="78F7F848" w14:textId="35EC1532" w:rsidR="003C5FF5" w:rsidRPr="003C5FF5" w:rsidRDefault="003C5FF5">
      <w:pPr>
        <w:pStyle w:val="FootnoteText"/>
        <w:rPr>
          <w:rFonts w:ascii="Book Antiqua" w:hAnsi="Book Antiqua"/>
          <w:lang w:val="en-GB"/>
        </w:rPr>
      </w:pPr>
      <w:r w:rsidRPr="003C5FF5">
        <w:rPr>
          <w:rStyle w:val="FootnoteReference"/>
          <w:rFonts w:ascii="Book Antiqua" w:hAnsi="Book Antiqua"/>
        </w:rPr>
        <w:footnoteRef/>
      </w:r>
      <w:r w:rsidRPr="003C5FF5">
        <w:rPr>
          <w:rFonts w:ascii="Book Antiqua" w:hAnsi="Book Antiqua"/>
        </w:rPr>
        <w:t xml:space="preserve"> “Recommendations for universities worldwide for the second semester of 2024: Safeguarding the right to freedom of peaceful assembly and association on campuses in the context of international solidarity with the Palestinian people and victims” (2 Oct 2024)</w:t>
      </w:r>
      <w:r w:rsidR="00ED58B2">
        <w:rPr>
          <w:rFonts w:ascii="Book Antiqua" w:hAnsi="Book Antiqua"/>
        </w:rPr>
        <w:t xml:space="preserve"> </w:t>
      </w:r>
      <w:r w:rsidR="00455750">
        <w:rPr>
          <w:rFonts w:ascii="Book Antiqua" w:hAnsi="Book Antiqua"/>
          <w:b/>
          <w:bCs/>
        </w:rPr>
        <w:t>[SB/18/989</w:t>
      </w:r>
      <w:r w:rsidR="0029161F">
        <w:rPr>
          <w:rFonts w:ascii="Book Antiqua" w:hAnsi="Book Antiqua"/>
          <w:b/>
          <w:bCs/>
        </w:rPr>
        <w:t>(</w:t>
      </w:r>
      <w:r w:rsidR="00455750">
        <w:rPr>
          <w:rFonts w:ascii="Book Antiqua" w:hAnsi="Book Antiqua"/>
          <w:b/>
          <w:bCs/>
        </w:rPr>
        <w:t>PDF351</w:t>
      </w:r>
      <w:r w:rsidR="0029161F">
        <w:rPr>
          <w:rFonts w:ascii="Book Antiqua" w:hAnsi="Book Antiqua"/>
          <w:b/>
          <w:bCs/>
        </w:rPr>
        <w:t>)</w:t>
      </w:r>
      <w:r w:rsidR="00ED58B2">
        <w:rPr>
          <w:rFonts w:ascii="Book Antiqua" w:hAnsi="Book Antiqua"/>
          <w:b/>
          <w:bCs/>
        </w:rPr>
        <w:t>]</w:t>
      </w:r>
      <w:r w:rsidRPr="003C5FF5">
        <w:rPr>
          <w:rFonts w:ascii="Book Antiqua" w:hAnsi="Book Antiqu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8591E" w14:textId="77777777" w:rsidR="002A58B7" w:rsidRDefault="002A5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663EE" w14:textId="77777777" w:rsidR="002A58B7" w:rsidRDefault="002A58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994F5" w14:textId="77777777" w:rsidR="002A58B7" w:rsidRDefault="002A5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D6B"/>
    <w:multiLevelType w:val="hybridMultilevel"/>
    <w:tmpl w:val="DDBE7520"/>
    <w:lvl w:ilvl="0" w:tplc="5DA4C3FE">
      <w:start w:val="2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A6146"/>
    <w:multiLevelType w:val="hybridMultilevel"/>
    <w:tmpl w:val="F19A424C"/>
    <w:lvl w:ilvl="0" w:tplc="CC8253B4">
      <w:start w:val="1"/>
      <w:numFmt w:val="decimal"/>
      <w:lvlText w:val="%1."/>
      <w:lvlJc w:val="left"/>
      <w:pPr>
        <w:ind w:left="720" w:hanging="360"/>
      </w:pPr>
      <w:rPr>
        <w:rFonts w:ascii="Book Antiqua" w:hAnsi="Book Antiqua" w:hint="default"/>
        <w:sz w:val="23"/>
      </w:rPr>
    </w:lvl>
    <w:lvl w:ilvl="1" w:tplc="04090019">
      <w:start w:val="1"/>
      <w:numFmt w:val="lowerLetter"/>
      <w:lvlText w:val="%2."/>
      <w:lvlJc w:val="left"/>
      <w:pPr>
        <w:ind w:left="1440" w:hanging="360"/>
      </w:pPr>
    </w:lvl>
    <w:lvl w:ilvl="2" w:tplc="EE4ED3BA">
      <w:start w:val="1"/>
      <w:numFmt w:val="lowerLetter"/>
      <w:lvlText w:val="%3."/>
      <w:lvlJc w:val="right"/>
      <w:pPr>
        <w:ind w:left="2160" w:hanging="180"/>
      </w:pPr>
      <w:rPr>
        <w:rFonts w:ascii="Book Antiqua" w:eastAsiaTheme="minorHAnsi" w:hAnsi="Book Antiqua" w:cstheme="minorBidi"/>
      </w:rPr>
    </w:lvl>
    <w:lvl w:ilvl="3" w:tplc="0409000F" w:tentative="1">
      <w:start w:val="1"/>
      <w:numFmt w:val="decimal"/>
      <w:lvlText w:val="%4."/>
      <w:lvlJc w:val="left"/>
      <w:pPr>
        <w:ind w:left="2880" w:hanging="360"/>
      </w:pPr>
    </w:lvl>
    <w:lvl w:ilvl="4" w:tplc="C50ABCDA">
      <w:start w:val="1"/>
      <w:numFmt w:val="decimal"/>
      <w:lvlText w:val="(%5)"/>
      <w:lvlJc w:val="left"/>
      <w:pPr>
        <w:ind w:left="3600" w:hanging="360"/>
      </w:pPr>
      <w:rPr>
        <w:rFonts w:ascii="Book Antiqua" w:eastAsiaTheme="minorHAnsi" w:hAnsi="Book Antiqua"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40EAA"/>
    <w:multiLevelType w:val="hybridMultilevel"/>
    <w:tmpl w:val="A9CC6FC2"/>
    <w:lvl w:ilvl="0" w:tplc="CC8460A2">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 w15:restartNumberingAfterBreak="0">
    <w:nsid w:val="132C3C82"/>
    <w:multiLevelType w:val="hybridMultilevel"/>
    <w:tmpl w:val="719A9DF6"/>
    <w:lvl w:ilvl="0" w:tplc="C786FCF2">
      <w:start w:val="1"/>
      <w:numFmt w:val="upperLetter"/>
      <w:lvlText w:val="(%1)"/>
      <w:lvlJc w:val="left"/>
      <w:pPr>
        <w:ind w:left="862" w:hanging="360"/>
      </w:pPr>
      <w:rPr>
        <w:rFonts w:hint="default"/>
        <w:sz w:val="23"/>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 w15:restartNumberingAfterBreak="0">
    <w:nsid w:val="1D8B201A"/>
    <w:multiLevelType w:val="hybridMultilevel"/>
    <w:tmpl w:val="B972EF5C"/>
    <w:lvl w:ilvl="0" w:tplc="91E220FC">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0F21958"/>
    <w:multiLevelType w:val="hybridMultilevel"/>
    <w:tmpl w:val="90FEFDBA"/>
    <w:lvl w:ilvl="0" w:tplc="284415F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B49488F"/>
    <w:multiLevelType w:val="hybridMultilevel"/>
    <w:tmpl w:val="5BFAE49A"/>
    <w:lvl w:ilvl="0" w:tplc="0D165E4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18F7D12"/>
    <w:multiLevelType w:val="hybridMultilevel"/>
    <w:tmpl w:val="118EE116"/>
    <w:lvl w:ilvl="0" w:tplc="CC020D0E">
      <w:start w:val="1"/>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05B1D"/>
    <w:multiLevelType w:val="hybridMultilevel"/>
    <w:tmpl w:val="D3DEAA1A"/>
    <w:lvl w:ilvl="0" w:tplc="47109C12">
      <w:start w:val="1"/>
      <w:numFmt w:val="lowerLetter"/>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0703F74"/>
    <w:multiLevelType w:val="hybridMultilevel"/>
    <w:tmpl w:val="0B401B0E"/>
    <w:lvl w:ilvl="0" w:tplc="0409000F">
      <w:start w:val="1"/>
      <w:numFmt w:val="decimal"/>
      <w:lvlText w:val="%1."/>
      <w:lvlJc w:val="left"/>
      <w:pPr>
        <w:ind w:left="720" w:hanging="360"/>
      </w:pPr>
      <w:rPr>
        <w:rFonts w:hint="default"/>
      </w:rPr>
    </w:lvl>
    <w:lvl w:ilvl="1" w:tplc="93EAF716">
      <w:start w:val="1"/>
      <w:numFmt w:val="decimal"/>
      <w:lvlText w:val="25.%2."/>
      <w:lvlJc w:val="left"/>
      <w:pPr>
        <w:ind w:left="1440" w:hanging="360"/>
      </w:pPr>
      <w:rPr>
        <w:rFonts w:hint="default"/>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ACC3ABC"/>
    <w:multiLevelType w:val="hybridMultilevel"/>
    <w:tmpl w:val="31CCAE48"/>
    <w:lvl w:ilvl="0" w:tplc="70C230C0">
      <w:start w:val="1"/>
      <w:numFmt w:val="lowerRoman"/>
      <w:lvlText w:val="%1."/>
      <w:lvlJc w:val="left"/>
      <w:pPr>
        <w:ind w:left="354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start w:val="1"/>
      <w:numFmt w:val="lowerLetter"/>
      <w:lvlText w:val="%2."/>
      <w:lvlJc w:val="left"/>
      <w:pPr>
        <w:ind w:left="4260" w:hanging="360"/>
      </w:pPr>
    </w:lvl>
    <w:lvl w:ilvl="2" w:tplc="0409001B">
      <w:start w:val="1"/>
      <w:numFmt w:val="lowerRoman"/>
      <w:lvlText w:val="%3."/>
      <w:lvlJc w:val="right"/>
      <w:pPr>
        <w:ind w:left="4980" w:hanging="180"/>
      </w:pPr>
    </w:lvl>
    <w:lvl w:ilvl="3" w:tplc="AD4CC666">
      <w:start w:val="81"/>
      <w:numFmt w:val="decimal"/>
      <w:lvlText w:val="%4."/>
      <w:lvlJc w:val="left"/>
      <w:pPr>
        <w:ind w:left="5700" w:hanging="360"/>
      </w:pPr>
      <w:rPr>
        <w:rFonts w:hint="default"/>
      </w:rPr>
    </w:lvl>
    <w:lvl w:ilvl="4" w:tplc="04090019">
      <w:start w:val="1"/>
      <w:numFmt w:val="lowerLetter"/>
      <w:lvlText w:val="%5."/>
      <w:lvlJc w:val="left"/>
      <w:pPr>
        <w:ind w:left="6420" w:hanging="360"/>
      </w:pPr>
    </w:lvl>
    <w:lvl w:ilvl="5" w:tplc="0409001B" w:tentative="1">
      <w:start w:val="1"/>
      <w:numFmt w:val="lowerRoman"/>
      <w:lvlText w:val="%6."/>
      <w:lvlJc w:val="right"/>
      <w:pPr>
        <w:ind w:left="7140" w:hanging="180"/>
      </w:pPr>
    </w:lvl>
    <w:lvl w:ilvl="6" w:tplc="0409000F" w:tentative="1">
      <w:start w:val="1"/>
      <w:numFmt w:val="decimal"/>
      <w:lvlText w:val="%7."/>
      <w:lvlJc w:val="left"/>
      <w:pPr>
        <w:ind w:left="7860" w:hanging="360"/>
      </w:pPr>
    </w:lvl>
    <w:lvl w:ilvl="7" w:tplc="04090019" w:tentative="1">
      <w:start w:val="1"/>
      <w:numFmt w:val="lowerLetter"/>
      <w:lvlText w:val="%8."/>
      <w:lvlJc w:val="left"/>
      <w:pPr>
        <w:ind w:left="8580" w:hanging="360"/>
      </w:pPr>
    </w:lvl>
    <w:lvl w:ilvl="8" w:tplc="0409001B" w:tentative="1">
      <w:start w:val="1"/>
      <w:numFmt w:val="lowerRoman"/>
      <w:lvlText w:val="%9."/>
      <w:lvlJc w:val="right"/>
      <w:pPr>
        <w:ind w:left="9300" w:hanging="180"/>
      </w:pPr>
    </w:lvl>
  </w:abstractNum>
  <w:abstractNum w:abstractNumId="11" w15:restartNumberingAfterBreak="0">
    <w:nsid w:val="4C424EBC"/>
    <w:multiLevelType w:val="hybridMultilevel"/>
    <w:tmpl w:val="BCE29D78"/>
    <w:lvl w:ilvl="0" w:tplc="852EAC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49B7A56"/>
    <w:multiLevelType w:val="hybridMultilevel"/>
    <w:tmpl w:val="827A2B74"/>
    <w:lvl w:ilvl="0" w:tplc="38046CE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AB04A2E"/>
    <w:multiLevelType w:val="multilevel"/>
    <w:tmpl w:val="083C2FA8"/>
    <w:lvl w:ilvl="0">
      <w:start w:val="24"/>
      <w:numFmt w:val="decimal"/>
      <w:lvlText w:val="%1"/>
      <w:lvlJc w:val="left"/>
      <w:pPr>
        <w:ind w:left="600" w:hanging="600"/>
      </w:pPr>
      <w:rPr>
        <w:rFonts w:hint="default"/>
      </w:rPr>
    </w:lvl>
    <w:lvl w:ilvl="1">
      <w:start w:val="4"/>
      <w:numFmt w:val="decimal"/>
      <w:lvlText w:val="%1.%2"/>
      <w:lvlJc w:val="left"/>
      <w:pPr>
        <w:ind w:left="1140" w:hanging="600"/>
      </w:pPr>
      <w:rPr>
        <w:rFonts w:hint="default"/>
      </w:rPr>
    </w:lvl>
    <w:lvl w:ilvl="2">
      <w:start w:val="1"/>
      <w:numFmt w:val="decimal"/>
      <w:lvlText w:val="25.4.%3."/>
      <w:lvlJc w:val="left"/>
      <w:pPr>
        <w:ind w:left="1440" w:hanging="360"/>
      </w:pPr>
      <w:rPr>
        <w:rFonts w:hint="default"/>
        <w:i w:val="0"/>
        <w:iCs w:val="0"/>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76FE3711"/>
    <w:multiLevelType w:val="hybridMultilevel"/>
    <w:tmpl w:val="2534B85E"/>
    <w:lvl w:ilvl="0" w:tplc="69B6F1D0">
      <w:start w:val="1"/>
      <w:numFmt w:val="upperRoman"/>
      <w:lvlText w:val="%1."/>
      <w:lvlJc w:val="left"/>
      <w:pPr>
        <w:ind w:left="1080" w:hanging="720"/>
      </w:pPr>
      <w:rPr>
        <w:rFonts w:hint="default"/>
      </w:rPr>
    </w:lvl>
    <w:lvl w:ilvl="1" w:tplc="F4FADF2A">
      <w:start w:val="1"/>
      <w:numFmt w:val="upperLetter"/>
      <w:lvlText w:val="Site %2:"/>
      <w:lvlJc w:val="left"/>
      <w:pPr>
        <w:ind w:left="1440" w:hanging="360"/>
      </w:pPr>
      <w:rPr>
        <w:rFonts w:hint="default"/>
      </w:rPr>
    </w:lvl>
    <w:lvl w:ilvl="2" w:tplc="88602E98">
      <w:start w:val="1"/>
      <w:numFmt w:val="lowerLetter"/>
      <w:lvlText w:val="%3."/>
      <w:lvlJc w:val="right"/>
      <w:pPr>
        <w:ind w:left="2160" w:hanging="180"/>
      </w:pPr>
      <w:rPr>
        <w:rFonts w:ascii="Book Antiqua" w:eastAsiaTheme="minorHAnsi" w:hAnsi="Book Antiqua" w:cstheme="minorBidi"/>
      </w:rPr>
    </w:lvl>
    <w:lvl w:ilvl="3" w:tplc="28F0D7B8">
      <w:start w:val="1"/>
      <w:numFmt w:val="lowerLetter"/>
      <w:lvlText w:val="(%4)"/>
      <w:lvlJc w:val="left"/>
      <w:pPr>
        <w:ind w:left="3180" w:hanging="660"/>
      </w:pPr>
      <w:rPr>
        <w:rFonts w:hint="default"/>
      </w:rPr>
    </w:lvl>
    <w:lvl w:ilvl="4" w:tplc="3A3C7E54">
      <w:start w:val="1"/>
      <w:numFmt w:val="decimal"/>
      <w:lvlText w:val="(%5)"/>
      <w:lvlJc w:val="left"/>
      <w:pPr>
        <w:ind w:left="3600" w:hanging="360"/>
      </w:pPr>
      <w:rPr>
        <w:rFonts w:eastAsia="Book Antiqua" w:cs="Book Antiqua" w:hint="default"/>
        <w:color w:val="00000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406941"/>
    <w:multiLevelType w:val="hybridMultilevel"/>
    <w:tmpl w:val="877ABCFA"/>
    <w:lvl w:ilvl="0" w:tplc="5C5A54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1"/>
  </w:num>
  <w:num w:numId="4">
    <w:abstractNumId w:val="7"/>
  </w:num>
  <w:num w:numId="5">
    <w:abstractNumId w:val="11"/>
  </w:num>
  <w:num w:numId="6">
    <w:abstractNumId w:val="12"/>
  </w:num>
  <w:num w:numId="7">
    <w:abstractNumId w:val="2"/>
  </w:num>
  <w:num w:numId="8">
    <w:abstractNumId w:val="9"/>
  </w:num>
  <w:num w:numId="9">
    <w:abstractNumId w:val="8"/>
  </w:num>
  <w:num w:numId="10">
    <w:abstractNumId w:val="5"/>
  </w:num>
  <w:num w:numId="11">
    <w:abstractNumId w:val="14"/>
  </w:num>
  <w:num w:numId="12">
    <w:abstractNumId w:val="0"/>
  </w:num>
  <w:num w:numId="13">
    <w:abstractNumId w:val="10"/>
  </w:num>
  <w:num w:numId="14">
    <w:abstractNumId w:val="13"/>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732"/>
    <w:rsid w:val="000011E1"/>
    <w:rsid w:val="000019E1"/>
    <w:rsid w:val="00002841"/>
    <w:rsid w:val="00011856"/>
    <w:rsid w:val="00012229"/>
    <w:rsid w:val="00014A6B"/>
    <w:rsid w:val="00015350"/>
    <w:rsid w:val="00015CC6"/>
    <w:rsid w:val="00016C6B"/>
    <w:rsid w:val="000217FD"/>
    <w:rsid w:val="00023208"/>
    <w:rsid w:val="00024C08"/>
    <w:rsid w:val="00025303"/>
    <w:rsid w:val="00027484"/>
    <w:rsid w:val="00030D0F"/>
    <w:rsid w:val="00031D39"/>
    <w:rsid w:val="00033870"/>
    <w:rsid w:val="00034680"/>
    <w:rsid w:val="0003584D"/>
    <w:rsid w:val="00036FEA"/>
    <w:rsid w:val="000407AB"/>
    <w:rsid w:val="00040C7A"/>
    <w:rsid w:val="000440F4"/>
    <w:rsid w:val="000508A3"/>
    <w:rsid w:val="00050A5C"/>
    <w:rsid w:val="00051A53"/>
    <w:rsid w:val="00053A07"/>
    <w:rsid w:val="00057FB2"/>
    <w:rsid w:val="00061B48"/>
    <w:rsid w:val="00062238"/>
    <w:rsid w:val="00062BA8"/>
    <w:rsid w:val="00064732"/>
    <w:rsid w:val="00064E3E"/>
    <w:rsid w:val="00070261"/>
    <w:rsid w:val="00072638"/>
    <w:rsid w:val="00076E49"/>
    <w:rsid w:val="00077EC9"/>
    <w:rsid w:val="000856F2"/>
    <w:rsid w:val="00090BA7"/>
    <w:rsid w:val="00091F7A"/>
    <w:rsid w:val="00094F8E"/>
    <w:rsid w:val="00095DF3"/>
    <w:rsid w:val="000975F1"/>
    <w:rsid w:val="000A630A"/>
    <w:rsid w:val="000A7902"/>
    <w:rsid w:val="000B012E"/>
    <w:rsid w:val="000B2E02"/>
    <w:rsid w:val="000B2F6D"/>
    <w:rsid w:val="000B39D3"/>
    <w:rsid w:val="000B59EA"/>
    <w:rsid w:val="000B73FC"/>
    <w:rsid w:val="000B7B23"/>
    <w:rsid w:val="000C0020"/>
    <w:rsid w:val="000C0572"/>
    <w:rsid w:val="000C1101"/>
    <w:rsid w:val="000C405A"/>
    <w:rsid w:val="000C66AB"/>
    <w:rsid w:val="000C7A14"/>
    <w:rsid w:val="000D7E82"/>
    <w:rsid w:val="000E0BC8"/>
    <w:rsid w:val="000E33E0"/>
    <w:rsid w:val="000E49ED"/>
    <w:rsid w:val="000E4EA5"/>
    <w:rsid w:val="000E5988"/>
    <w:rsid w:val="000F0701"/>
    <w:rsid w:val="000F6011"/>
    <w:rsid w:val="001008DB"/>
    <w:rsid w:val="00101279"/>
    <w:rsid w:val="0010604D"/>
    <w:rsid w:val="00110A9F"/>
    <w:rsid w:val="001122B6"/>
    <w:rsid w:val="00114CAF"/>
    <w:rsid w:val="00123E3A"/>
    <w:rsid w:val="00125CEA"/>
    <w:rsid w:val="0012791B"/>
    <w:rsid w:val="00127FCA"/>
    <w:rsid w:val="001300EE"/>
    <w:rsid w:val="00131751"/>
    <w:rsid w:val="0013180D"/>
    <w:rsid w:val="00134015"/>
    <w:rsid w:val="001340E7"/>
    <w:rsid w:val="0013517E"/>
    <w:rsid w:val="00137276"/>
    <w:rsid w:val="00137E95"/>
    <w:rsid w:val="0014114A"/>
    <w:rsid w:val="00142007"/>
    <w:rsid w:val="00143825"/>
    <w:rsid w:val="00144CFA"/>
    <w:rsid w:val="00147AD1"/>
    <w:rsid w:val="00150152"/>
    <w:rsid w:val="001513C7"/>
    <w:rsid w:val="001536BB"/>
    <w:rsid w:val="00153BDB"/>
    <w:rsid w:val="00153D78"/>
    <w:rsid w:val="00154328"/>
    <w:rsid w:val="00157E67"/>
    <w:rsid w:val="00160659"/>
    <w:rsid w:val="0016102C"/>
    <w:rsid w:val="00161D21"/>
    <w:rsid w:val="001620C7"/>
    <w:rsid w:val="00163C11"/>
    <w:rsid w:val="001641BA"/>
    <w:rsid w:val="00165024"/>
    <w:rsid w:val="0016520B"/>
    <w:rsid w:val="001656CC"/>
    <w:rsid w:val="00166E90"/>
    <w:rsid w:val="0017049B"/>
    <w:rsid w:val="00174906"/>
    <w:rsid w:val="00177D40"/>
    <w:rsid w:val="0018206B"/>
    <w:rsid w:val="00183258"/>
    <w:rsid w:val="001846B3"/>
    <w:rsid w:val="0018535B"/>
    <w:rsid w:val="0018539C"/>
    <w:rsid w:val="00187DD5"/>
    <w:rsid w:val="001917E6"/>
    <w:rsid w:val="00191DB1"/>
    <w:rsid w:val="0019322F"/>
    <w:rsid w:val="00196ACE"/>
    <w:rsid w:val="001A0163"/>
    <w:rsid w:val="001A1192"/>
    <w:rsid w:val="001A550F"/>
    <w:rsid w:val="001A7A0D"/>
    <w:rsid w:val="001A7CBD"/>
    <w:rsid w:val="001B17AA"/>
    <w:rsid w:val="001B5B25"/>
    <w:rsid w:val="001B5E77"/>
    <w:rsid w:val="001C075D"/>
    <w:rsid w:val="001C09A8"/>
    <w:rsid w:val="001C2065"/>
    <w:rsid w:val="001C3922"/>
    <w:rsid w:val="001C39D5"/>
    <w:rsid w:val="001C6834"/>
    <w:rsid w:val="001C7CB6"/>
    <w:rsid w:val="001D179F"/>
    <w:rsid w:val="001D1F8B"/>
    <w:rsid w:val="001D1F9D"/>
    <w:rsid w:val="001D3E5D"/>
    <w:rsid w:val="001D55E3"/>
    <w:rsid w:val="001D7B25"/>
    <w:rsid w:val="001E0FCD"/>
    <w:rsid w:val="001E18C5"/>
    <w:rsid w:val="001E1EBD"/>
    <w:rsid w:val="001E2B70"/>
    <w:rsid w:val="001E2E3C"/>
    <w:rsid w:val="001E4AD3"/>
    <w:rsid w:val="001F784B"/>
    <w:rsid w:val="00201A3D"/>
    <w:rsid w:val="00202D2E"/>
    <w:rsid w:val="002038D1"/>
    <w:rsid w:val="0020530A"/>
    <w:rsid w:val="00205367"/>
    <w:rsid w:val="00205BD8"/>
    <w:rsid w:val="0021078E"/>
    <w:rsid w:val="00210F73"/>
    <w:rsid w:val="00211BAE"/>
    <w:rsid w:val="00211D7C"/>
    <w:rsid w:val="00212DA6"/>
    <w:rsid w:val="002158C9"/>
    <w:rsid w:val="0022144D"/>
    <w:rsid w:val="0022384F"/>
    <w:rsid w:val="0023389F"/>
    <w:rsid w:val="0023682E"/>
    <w:rsid w:val="00240311"/>
    <w:rsid w:val="002447F7"/>
    <w:rsid w:val="00244CFB"/>
    <w:rsid w:val="00244DC2"/>
    <w:rsid w:val="0024530D"/>
    <w:rsid w:val="002478DB"/>
    <w:rsid w:val="00251BA3"/>
    <w:rsid w:val="002528DB"/>
    <w:rsid w:val="00255454"/>
    <w:rsid w:val="0025604C"/>
    <w:rsid w:val="00256E5B"/>
    <w:rsid w:val="00260ABB"/>
    <w:rsid w:val="00263FBE"/>
    <w:rsid w:val="00265E6B"/>
    <w:rsid w:val="00267496"/>
    <w:rsid w:val="002702A2"/>
    <w:rsid w:val="00270721"/>
    <w:rsid w:val="00273E75"/>
    <w:rsid w:val="002757AF"/>
    <w:rsid w:val="00281B1B"/>
    <w:rsid w:val="002866B8"/>
    <w:rsid w:val="00286F8E"/>
    <w:rsid w:val="00287AF1"/>
    <w:rsid w:val="0029161F"/>
    <w:rsid w:val="00293922"/>
    <w:rsid w:val="002A1923"/>
    <w:rsid w:val="002A1E6D"/>
    <w:rsid w:val="002A24A0"/>
    <w:rsid w:val="002A4A58"/>
    <w:rsid w:val="002A4FFE"/>
    <w:rsid w:val="002A58B7"/>
    <w:rsid w:val="002B30F9"/>
    <w:rsid w:val="002B587C"/>
    <w:rsid w:val="002B62FA"/>
    <w:rsid w:val="002B7008"/>
    <w:rsid w:val="002B7EC2"/>
    <w:rsid w:val="002C291E"/>
    <w:rsid w:val="002C5493"/>
    <w:rsid w:val="002C645E"/>
    <w:rsid w:val="002C71D6"/>
    <w:rsid w:val="002D162B"/>
    <w:rsid w:val="002D1AAE"/>
    <w:rsid w:val="002D5344"/>
    <w:rsid w:val="002D60AC"/>
    <w:rsid w:val="002D71A8"/>
    <w:rsid w:val="002E101A"/>
    <w:rsid w:val="002E6827"/>
    <w:rsid w:val="002F0F76"/>
    <w:rsid w:val="002F230A"/>
    <w:rsid w:val="002F320A"/>
    <w:rsid w:val="002F3B41"/>
    <w:rsid w:val="002F66F2"/>
    <w:rsid w:val="002F7BB0"/>
    <w:rsid w:val="00301703"/>
    <w:rsid w:val="00302EAA"/>
    <w:rsid w:val="00303243"/>
    <w:rsid w:val="003050ED"/>
    <w:rsid w:val="0030658F"/>
    <w:rsid w:val="003068DB"/>
    <w:rsid w:val="00310468"/>
    <w:rsid w:val="003113E9"/>
    <w:rsid w:val="003113F1"/>
    <w:rsid w:val="003118C4"/>
    <w:rsid w:val="00315332"/>
    <w:rsid w:val="003205A9"/>
    <w:rsid w:val="00320C17"/>
    <w:rsid w:val="0032138D"/>
    <w:rsid w:val="00324B7C"/>
    <w:rsid w:val="0032511E"/>
    <w:rsid w:val="003308A3"/>
    <w:rsid w:val="00334F88"/>
    <w:rsid w:val="00335B6D"/>
    <w:rsid w:val="003360CE"/>
    <w:rsid w:val="003378C5"/>
    <w:rsid w:val="003413CD"/>
    <w:rsid w:val="003431DD"/>
    <w:rsid w:val="00352077"/>
    <w:rsid w:val="0035694A"/>
    <w:rsid w:val="003571AE"/>
    <w:rsid w:val="00360E2D"/>
    <w:rsid w:val="00362431"/>
    <w:rsid w:val="003650CF"/>
    <w:rsid w:val="00366C1C"/>
    <w:rsid w:val="00372093"/>
    <w:rsid w:val="00375EB9"/>
    <w:rsid w:val="00381CF7"/>
    <w:rsid w:val="00382C74"/>
    <w:rsid w:val="0038371C"/>
    <w:rsid w:val="00383FBA"/>
    <w:rsid w:val="00385475"/>
    <w:rsid w:val="00386747"/>
    <w:rsid w:val="00391867"/>
    <w:rsid w:val="003972B3"/>
    <w:rsid w:val="0039795E"/>
    <w:rsid w:val="00397B7F"/>
    <w:rsid w:val="003A0364"/>
    <w:rsid w:val="003A1FEB"/>
    <w:rsid w:val="003A469E"/>
    <w:rsid w:val="003A48E6"/>
    <w:rsid w:val="003B6CB4"/>
    <w:rsid w:val="003B6E73"/>
    <w:rsid w:val="003C062E"/>
    <w:rsid w:val="003C1132"/>
    <w:rsid w:val="003C2DAA"/>
    <w:rsid w:val="003C5FF5"/>
    <w:rsid w:val="003C6622"/>
    <w:rsid w:val="003D20F3"/>
    <w:rsid w:val="003D267F"/>
    <w:rsid w:val="003D2807"/>
    <w:rsid w:val="003D4A41"/>
    <w:rsid w:val="003E1099"/>
    <w:rsid w:val="003E4A07"/>
    <w:rsid w:val="003F153B"/>
    <w:rsid w:val="003F1CAB"/>
    <w:rsid w:val="003F479B"/>
    <w:rsid w:val="003F5585"/>
    <w:rsid w:val="003F6053"/>
    <w:rsid w:val="003F6DC3"/>
    <w:rsid w:val="003F7716"/>
    <w:rsid w:val="00401BD9"/>
    <w:rsid w:val="004022FE"/>
    <w:rsid w:val="004024C1"/>
    <w:rsid w:val="00404738"/>
    <w:rsid w:val="00405810"/>
    <w:rsid w:val="00406BA2"/>
    <w:rsid w:val="00406F32"/>
    <w:rsid w:val="0040760A"/>
    <w:rsid w:val="00410CD2"/>
    <w:rsid w:val="00411744"/>
    <w:rsid w:val="00411FA0"/>
    <w:rsid w:val="00412080"/>
    <w:rsid w:val="00412434"/>
    <w:rsid w:val="00414419"/>
    <w:rsid w:val="00415309"/>
    <w:rsid w:val="00417941"/>
    <w:rsid w:val="00417F1F"/>
    <w:rsid w:val="0042005A"/>
    <w:rsid w:val="00420380"/>
    <w:rsid w:val="00422E11"/>
    <w:rsid w:val="004247A4"/>
    <w:rsid w:val="004250CC"/>
    <w:rsid w:val="004275F9"/>
    <w:rsid w:val="00430D33"/>
    <w:rsid w:val="004329C6"/>
    <w:rsid w:val="00432CE7"/>
    <w:rsid w:val="004337C4"/>
    <w:rsid w:val="004349C7"/>
    <w:rsid w:val="00437A75"/>
    <w:rsid w:val="00440CDC"/>
    <w:rsid w:val="00441972"/>
    <w:rsid w:val="00441B8A"/>
    <w:rsid w:val="0044448D"/>
    <w:rsid w:val="004526B8"/>
    <w:rsid w:val="00454041"/>
    <w:rsid w:val="00455750"/>
    <w:rsid w:val="004602E8"/>
    <w:rsid w:val="00460BDC"/>
    <w:rsid w:val="00461BAB"/>
    <w:rsid w:val="004634CC"/>
    <w:rsid w:val="00463E17"/>
    <w:rsid w:val="00464E10"/>
    <w:rsid w:val="0047049D"/>
    <w:rsid w:val="0047218F"/>
    <w:rsid w:val="004731DB"/>
    <w:rsid w:val="00474657"/>
    <w:rsid w:val="004809D9"/>
    <w:rsid w:val="00481F12"/>
    <w:rsid w:val="004853E6"/>
    <w:rsid w:val="0048602F"/>
    <w:rsid w:val="00486364"/>
    <w:rsid w:val="004870A6"/>
    <w:rsid w:val="00487B97"/>
    <w:rsid w:val="004917C9"/>
    <w:rsid w:val="00497773"/>
    <w:rsid w:val="004A0140"/>
    <w:rsid w:val="004A3F32"/>
    <w:rsid w:val="004A5C64"/>
    <w:rsid w:val="004B1355"/>
    <w:rsid w:val="004B1A64"/>
    <w:rsid w:val="004B30B0"/>
    <w:rsid w:val="004B4BE4"/>
    <w:rsid w:val="004C212B"/>
    <w:rsid w:val="004C33CE"/>
    <w:rsid w:val="004C3F71"/>
    <w:rsid w:val="004C5952"/>
    <w:rsid w:val="004C6146"/>
    <w:rsid w:val="004D2F74"/>
    <w:rsid w:val="004D35AC"/>
    <w:rsid w:val="004D4ECB"/>
    <w:rsid w:val="004D6623"/>
    <w:rsid w:val="004E0753"/>
    <w:rsid w:val="004E3BBE"/>
    <w:rsid w:val="004E3EB2"/>
    <w:rsid w:val="004E4C4E"/>
    <w:rsid w:val="004E5D6B"/>
    <w:rsid w:val="004F415D"/>
    <w:rsid w:val="004F6419"/>
    <w:rsid w:val="004F6888"/>
    <w:rsid w:val="00501673"/>
    <w:rsid w:val="00503E5B"/>
    <w:rsid w:val="00504365"/>
    <w:rsid w:val="00507EE7"/>
    <w:rsid w:val="00510F4B"/>
    <w:rsid w:val="00511D5F"/>
    <w:rsid w:val="00514C4F"/>
    <w:rsid w:val="00520EB2"/>
    <w:rsid w:val="00521828"/>
    <w:rsid w:val="00521D6D"/>
    <w:rsid w:val="005249E5"/>
    <w:rsid w:val="005252E6"/>
    <w:rsid w:val="005321AF"/>
    <w:rsid w:val="0053358F"/>
    <w:rsid w:val="00534C2C"/>
    <w:rsid w:val="005368F9"/>
    <w:rsid w:val="00541EDF"/>
    <w:rsid w:val="00542829"/>
    <w:rsid w:val="005458F5"/>
    <w:rsid w:val="00546B85"/>
    <w:rsid w:val="00547B76"/>
    <w:rsid w:val="00552615"/>
    <w:rsid w:val="00552E9B"/>
    <w:rsid w:val="0055360D"/>
    <w:rsid w:val="005536FD"/>
    <w:rsid w:val="005554E6"/>
    <w:rsid w:val="0055657B"/>
    <w:rsid w:val="0055698D"/>
    <w:rsid w:val="00563259"/>
    <w:rsid w:val="00565FE7"/>
    <w:rsid w:val="00571D6A"/>
    <w:rsid w:val="00571E6C"/>
    <w:rsid w:val="00572585"/>
    <w:rsid w:val="00575E93"/>
    <w:rsid w:val="005772FE"/>
    <w:rsid w:val="00581AAB"/>
    <w:rsid w:val="0058210B"/>
    <w:rsid w:val="0058319E"/>
    <w:rsid w:val="00585E77"/>
    <w:rsid w:val="00586519"/>
    <w:rsid w:val="00592C91"/>
    <w:rsid w:val="005974E7"/>
    <w:rsid w:val="005A2F08"/>
    <w:rsid w:val="005A4F55"/>
    <w:rsid w:val="005A55D9"/>
    <w:rsid w:val="005A5A28"/>
    <w:rsid w:val="005B0AF3"/>
    <w:rsid w:val="005B181F"/>
    <w:rsid w:val="005B3BFE"/>
    <w:rsid w:val="005B6BC6"/>
    <w:rsid w:val="005B6CC7"/>
    <w:rsid w:val="005C025A"/>
    <w:rsid w:val="005C423C"/>
    <w:rsid w:val="005C5052"/>
    <w:rsid w:val="005C79C1"/>
    <w:rsid w:val="005D089B"/>
    <w:rsid w:val="005D0FB8"/>
    <w:rsid w:val="005D7F62"/>
    <w:rsid w:val="005E4283"/>
    <w:rsid w:val="005E5C6E"/>
    <w:rsid w:val="005E6AE1"/>
    <w:rsid w:val="005F59C0"/>
    <w:rsid w:val="005F6740"/>
    <w:rsid w:val="005F6E97"/>
    <w:rsid w:val="005F7193"/>
    <w:rsid w:val="005F737E"/>
    <w:rsid w:val="005F7736"/>
    <w:rsid w:val="00601EED"/>
    <w:rsid w:val="00603FF6"/>
    <w:rsid w:val="00611DEB"/>
    <w:rsid w:val="00612843"/>
    <w:rsid w:val="00612BEA"/>
    <w:rsid w:val="006132A8"/>
    <w:rsid w:val="006177F3"/>
    <w:rsid w:val="00620102"/>
    <w:rsid w:val="00620E6F"/>
    <w:rsid w:val="00620F24"/>
    <w:rsid w:val="00622902"/>
    <w:rsid w:val="00624586"/>
    <w:rsid w:val="00625DC4"/>
    <w:rsid w:val="0062605D"/>
    <w:rsid w:val="00631EB8"/>
    <w:rsid w:val="00632D09"/>
    <w:rsid w:val="00636114"/>
    <w:rsid w:val="00637467"/>
    <w:rsid w:val="0063749C"/>
    <w:rsid w:val="00641937"/>
    <w:rsid w:val="00642FF5"/>
    <w:rsid w:val="00647A72"/>
    <w:rsid w:val="00650877"/>
    <w:rsid w:val="00656AE3"/>
    <w:rsid w:val="00656DAA"/>
    <w:rsid w:val="0065723B"/>
    <w:rsid w:val="006574A4"/>
    <w:rsid w:val="006609CC"/>
    <w:rsid w:val="006642FE"/>
    <w:rsid w:val="006668D4"/>
    <w:rsid w:val="0066693D"/>
    <w:rsid w:val="00670701"/>
    <w:rsid w:val="00673221"/>
    <w:rsid w:val="00674618"/>
    <w:rsid w:val="0067650F"/>
    <w:rsid w:val="006827CA"/>
    <w:rsid w:val="006874BC"/>
    <w:rsid w:val="00687FD0"/>
    <w:rsid w:val="00690E14"/>
    <w:rsid w:val="006942FF"/>
    <w:rsid w:val="00694DEC"/>
    <w:rsid w:val="006A141F"/>
    <w:rsid w:val="006A1537"/>
    <w:rsid w:val="006A5E16"/>
    <w:rsid w:val="006A7CA7"/>
    <w:rsid w:val="006B3911"/>
    <w:rsid w:val="006B77D7"/>
    <w:rsid w:val="006B7B32"/>
    <w:rsid w:val="006C1824"/>
    <w:rsid w:val="006C2A22"/>
    <w:rsid w:val="006C5663"/>
    <w:rsid w:val="006C6502"/>
    <w:rsid w:val="006C6555"/>
    <w:rsid w:val="006C6869"/>
    <w:rsid w:val="006C7830"/>
    <w:rsid w:val="006C7C64"/>
    <w:rsid w:val="006D7405"/>
    <w:rsid w:val="006E074C"/>
    <w:rsid w:val="006E18D8"/>
    <w:rsid w:val="006E36F5"/>
    <w:rsid w:val="006E53DC"/>
    <w:rsid w:val="006F0D10"/>
    <w:rsid w:val="006F33AB"/>
    <w:rsid w:val="006F3D27"/>
    <w:rsid w:val="006F40C5"/>
    <w:rsid w:val="006F6DEA"/>
    <w:rsid w:val="006F73EE"/>
    <w:rsid w:val="007005C7"/>
    <w:rsid w:val="0070103A"/>
    <w:rsid w:val="007016FF"/>
    <w:rsid w:val="007041EC"/>
    <w:rsid w:val="007047B4"/>
    <w:rsid w:val="0070778F"/>
    <w:rsid w:val="00710B6A"/>
    <w:rsid w:val="007111A6"/>
    <w:rsid w:val="0071211A"/>
    <w:rsid w:val="0071469C"/>
    <w:rsid w:val="00715946"/>
    <w:rsid w:val="00720C13"/>
    <w:rsid w:val="0072113E"/>
    <w:rsid w:val="0072627A"/>
    <w:rsid w:val="00726743"/>
    <w:rsid w:val="00727802"/>
    <w:rsid w:val="0073180F"/>
    <w:rsid w:val="007326FE"/>
    <w:rsid w:val="00733002"/>
    <w:rsid w:val="00735D18"/>
    <w:rsid w:val="00736729"/>
    <w:rsid w:val="00740C27"/>
    <w:rsid w:val="00744586"/>
    <w:rsid w:val="00762605"/>
    <w:rsid w:val="007646F8"/>
    <w:rsid w:val="0076476C"/>
    <w:rsid w:val="007704B0"/>
    <w:rsid w:val="00774B30"/>
    <w:rsid w:val="00775130"/>
    <w:rsid w:val="00775FFC"/>
    <w:rsid w:val="00781DB2"/>
    <w:rsid w:val="00783561"/>
    <w:rsid w:val="00785233"/>
    <w:rsid w:val="0079424E"/>
    <w:rsid w:val="00795674"/>
    <w:rsid w:val="007A4349"/>
    <w:rsid w:val="007A4E0E"/>
    <w:rsid w:val="007A5B77"/>
    <w:rsid w:val="007B0F8C"/>
    <w:rsid w:val="007B2915"/>
    <w:rsid w:val="007B3E2C"/>
    <w:rsid w:val="007B6F77"/>
    <w:rsid w:val="007C0643"/>
    <w:rsid w:val="007C1CB2"/>
    <w:rsid w:val="007C2CE2"/>
    <w:rsid w:val="007C5980"/>
    <w:rsid w:val="007C6E54"/>
    <w:rsid w:val="007C7CBF"/>
    <w:rsid w:val="007D1373"/>
    <w:rsid w:val="007D28C6"/>
    <w:rsid w:val="007D37CB"/>
    <w:rsid w:val="007D42E4"/>
    <w:rsid w:val="007D48E4"/>
    <w:rsid w:val="007D7AB2"/>
    <w:rsid w:val="007E0EB7"/>
    <w:rsid w:val="007E147A"/>
    <w:rsid w:val="007E15E8"/>
    <w:rsid w:val="007E52BE"/>
    <w:rsid w:val="007E7B67"/>
    <w:rsid w:val="007E7DED"/>
    <w:rsid w:val="007F3366"/>
    <w:rsid w:val="007F4756"/>
    <w:rsid w:val="007F4E2C"/>
    <w:rsid w:val="00801EE4"/>
    <w:rsid w:val="0080277F"/>
    <w:rsid w:val="00802C14"/>
    <w:rsid w:val="00802FCB"/>
    <w:rsid w:val="00805385"/>
    <w:rsid w:val="008056BA"/>
    <w:rsid w:val="00805FCA"/>
    <w:rsid w:val="00807302"/>
    <w:rsid w:val="0081123A"/>
    <w:rsid w:val="00811D42"/>
    <w:rsid w:val="00822162"/>
    <w:rsid w:val="00822FE6"/>
    <w:rsid w:val="008237A3"/>
    <w:rsid w:val="00823EF0"/>
    <w:rsid w:val="00830A5A"/>
    <w:rsid w:val="008339D7"/>
    <w:rsid w:val="00834808"/>
    <w:rsid w:val="00834ACE"/>
    <w:rsid w:val="008411D0"/>
    <w:rsid w:val="008413EA"/>
    <w:rsid w:val="008414AB"/>
    <w:rsid w:val="00841D31"/>
    <w:rsid w:val="0084206A"/>
    <w:rsid w:val="008442D2"/>
    <w:rsid w:val="00847A56"/>
    <w:rsid w:val="0085066D"/>
    <w:rsid w:val="00850705"/>
    <w:rsid w:val="0085348D"/>
    <w:rsid w:val="008541F3"/>
    <w:rsid w:val="00854CAD"/>
    <w:rsid w:val="0085668E"/>
    <w:rsid w:val="00860A78"/>
    <w:rsid w:val="008625D6"/>
    <w:rsid w:val="008663B5"/>
    <w:rsid w:val="0086671C"/>
    <w:rsid w:val="00866E71"/>
    <w:rsid w:val="00872117"/>
    <w:rsid w:val="008722BD"/>
    <w:rsid w:val="0087303E"/>
    <w:rsid w:val="008775CF"/>
    <w:rsid w:val="00881663"/>
    <w:rsid w:val="00883B3F"/>
    <w:rsid w:val="00884DAF"/>
    <w:rsid w:val="00885065"/>
    <w:rsid w:val="008869A0"/>
    <w:rsid w:val="00886B5C"/>
    <w:rsid w:val="008871C2"/>
    <w:rsid w:val="0089104C"/>
    <w:rsid w:val="00895703"/>
    <w:rsid w:val="00895890"/>
    <w:rsid w:val="00895BD6"/>
    <w:rsid w:val="008960D7"/>
    <w:rsid w:val="00896920"/>
    <w:rsid w:val="00897A4A"/>
    <w:rsid w:val="008A03FE"/>
    <w:rsid w:val="008A1D99"/>
    <w:rsid w:val="008A2C45"/>
    <w:rsid w:val="008A39FB"/>
    <w:rsid w:val="008A587A"/>
    <w:rsid w:val="008A62B2"/>
    <w:rsid w:val="008A67ED"/>
    <w:rsid w:val="008B0679"/>
    <w:rsid w:val="008B3E3F"/>
    <w:rsid w:val="008B5BAB"/>
    <w:rsid w:val="008B6072"/>
    <w:rsid w:val="008B648B"/>
    <w:rsid w:val="008C08F2"/>
    <w:rsid w:val="008C2F5F"/>
    <w:rsid w:val="008C30AA"/>
    <w:rsid w:val="008C40F8"/>
    <w:rsid w:val="008C61EF"/>
    <w:rsid w:val="008C6641"/>
    <w:rsid w:val="008C71DA"/>
    <w:rsid w:val="008D583B"/>
    <w:rsid w:val="008D5C16"/>
    <w:rsid w:val="008D6456"/>
    <w:rsid w:val="008E0EF9"/>
    <w:rsid w:val="008E1227"/>
    <w:rsid w:val="008E3F97"/>
    <w:rsid w:val="008E5A97"/>
    <w:rsid w:val="008F27A7"/>
    <w:rsid w:val="008F7E5E"/>
    <w:rsid w:val="00900EAA"/>
    <w:rsid w:val="009010E9"/>
    <w:rsid w:val="0090240B"/>
    <w:rsid w:val="009102CB"/>
    <w:rsid w:val="0091069A"/>
    <w:rsid w:val="00911181"/>
    <w:rsid w:val="00912D66"/>
    <w:rsid w:val="00917BC5"/>
    <w:rsid w:val="009232CB"/>
    <w:rsid w:val="00924EAC"/>
    <w:rsid w:val="00925C30"/>
    <w:rsid w:val="00925EC0"/>
    <w:rsid w:val="00927523"/>
    <w:rsid w:val="009305D6"/>
    <w:rsid w:val="00930CED"/>
    <w:rsid w:val="009332B2"/>
    <w:rsid w:val="00933FF0"/>
    <w:rsid w:val="0093558F"/>
    <w:rsid w:val="00937796"/>
    <w:rsid w:val="00937DA7"/>
    <w:rsid w:val="00940567"/>
    <w:rsid w:val="00941C83"/>
    <w:rsid w:val="0094375D"/>
    <w:rsid w:val="00954E0D"/>
    <w:rsid w:val="00956C70"/>
    <w:rsid w:val="00957592"/>
    <w:rsid w:val="00962707"/>
    <w:rsid w:val="00962CD1"/>
    <w:rsid w:val="009658E5"/>
    <w:rsid w:val="0096591D"/>
    <w:rsid w:val="00967599"/>
    <w:rsid w:val="009723C4"/>
    <w:rsid w:val="0097344B"/>
    <w:rsid w:val="00974A90"/>
    <w:rsid w:val="00980BD5"/>
    <w:rsid w:val="0098718D"/>
    <w:rsid w:val="00987D1E"/>
    <w:rsid w:val="00987D29"/>
    <w:rsid w:val="00990018"/>
    <w:rsid w:val="00992E04"/>
    <w:rsid w:val="00994833"/>
    <w:rsid w:val="009A1E81"/>
    <w:rsid w:val="009A1E8A"/>
    <w:rsid w:val="009A3723"/>
    <w:rsid w:val="009A47D5"/>
    <w:rsid w:val="009A597F"/>
    <w:rsid w:val="009A5F3C"/>
    <w:rsid w:val="009A6A20"/>
    <w:rsid w:val="009A7EDB"/>
    <w:rsid w:val="009B1ED0"/>
    <w:rsid w:val="009B396A"/>
    <w:rsid w:val="009C1110"/>
    <w:rsid w:val="009C1BCA"/>
    <w:rsid w:val="009C2C16"/>
    <w:rsid w:val="009D0AF5"/>
    <w:rsid w:val="009D1582"/>
    <w:rsid w:val="009D1C56"/>
    <w:rsid w:val="009D37AD"/>
    <w:rsid w:val="009D384B"/>
    <w:rsid w:val="009D6288"/>
    <w:rsid w:val="009D6435"/>
    <w:rsid w:val="009F46A7"/>
    <w:rsid w:val="00A02913"/>
    <w:rsid w:val="00A031A5"/>
    <w:rsid w:val="00A05EAD"/>
    <w:rsid w:val="00A0675A"/>
    <w:rsid w:val="00A10951"/>
    <w:rsid w:val="00A11D34"/>
    <w:rsid w:val="00A11DC2"/>
    <w:rsid w:val="00A124EF"/>
    <w:rsid w:val="00A138B3"/>
    <w:rsid w:val="00A13EE4"/>
    <w:rsid w:val="00A1429D"/>
    <w:rsid w:val="00A21C12"/>
    <w:rsid w:val="00A23CD4"/>
    <w:rsid w:val="00A2580F"/>
    <w:rsid w:val="00A2672D"/>
    <w:rsid w:val="00A31463"/>
    <w:rsid w:val="00A3376F"/>
    <w:rsid w:val="00A33F5E"/>
    <w:rsid w:val="00A36C18"/>
    <w:rsid w:val="00A41743"/>
    <w:rsid w:val="00A41A15"/>
    <w:rsid w:val="00A431A7"/>
    <w:rsid w:val="00A444BB"/>
    <w:rsid w:val="00A44C98"/>
    <w:rsid w:val="00A47A78"/>
    <w:rsid w:val="00A5246C"/>
    <w:rsid w:val="00A52A09"/>
    <w:rsid w:val="00A5442D"/>
    <w:rsid w:val="00A5485B"/>
    <w:rsid w:val="00A54944"/>
    <w:rsid w:val="00A54CF5"/>
    <w:rsid w:val="00A6178B"/>
    <w:rsid w:val="00A61C71"/>
    <w:rsid w:val="00A63782"/>
    <w:rsid w:val="00A6414D"/>
    <w:rsid w:val="00A64EDC"/>
    <w:rsid w:val="00A6621B"/>
    <w:rsid w:val="00A66529"/>
    <w:rsid w:val="00A70DD8"/>
    <w:rsid w:val="00A715CF"/>
    <w:rsid w:val="00A721A7"/>
    <w:rsid w:val="00A73096"/>
    <w:rsid w:val="00A7376A"/>
    <w:rsid w:val="00A76403"/>
    <w:rsid w:val="00A84A08"/>
    <w:rsid w:val="00A84C97"/>
    <w:rsid w:val="00A908F3"/>
    <w:rsid w:val="00A909DC"/>
    <w:rsid w:val="00A91AE1"/>
    <w:rsid w:val="00A9212C"/>
    <w:rsid w:val="00A92905"/>
    <w:rsid w:val="00A94BC6"/>
    <w:rsid w:val="00A95326"/>
    <w:rsid w:val="00AA032F"/>
    <w:rsid w:val="00AA0C07"/>
    <w:rsid w:val="00AA277D"/>
    <w:rsid w:val="00AA54AA"/>
    <w:rsid w:val="00AB118E"/>
    <w:rsid w:val="00AB2187"/>
    <w:rsid w:val="00AB5130"/>
    <w:rsid w:val="00AB7384"/>
    <w:rsid w:val="00AB7E11"/>
    <w:rsid w:val="00AC176D"/>
    <w:rsid w:val="00AC1CCC"/>
    <w:rsid w:val="00AC1D7D"/>
    <w:rsid w:val="00AC2563"/>
    <w:rsid w:val="00AC3539"/>
    <w:rsid w:val="00AC3C48"/>
    <w:rsid w:val="00AC47B7"/>
    <w:rsid w:val="00AC556A"/>
    <w:rsid w:val="00AC5C3D"/>
    <w:rsid w:val="00AC6CE2"/>
    <w:rsid w:val="00AD1A6B"/>
    <w:rsid w:val="00AD25D8"/>
    <w:rsid w:val="00AD74C3"/>
    <w:rsid w:val="00AE07CA"/>
    <w:rsid w:val="00AE60FB"/>
    <w:rsid w:val="00AF134E"/>
    <w:rsid w:val="00AF457C"/>
    <w:rsid w:val="00AF50AE"/>
    <w:rsid w:val="00AF5E03"/>
    <w:rsid w:val="00AF72F0"/>
    <w:rsid w:val="00B02570"/>
    <w:rsid w:val="00B03B84"/>
    <w:rsid w:val="00B04D95"/>
    <w:rsid w:val="00B07B87"/>
    <w:rsid w:val="00B13CB2"/>
    <w:rsid w:val="00B15785"/>
    <w:rsid w:val="00B16AA3"/>
    <w:rsid w:val="00B202F4"/>
    <w:rsid w:val="00B20324"/>
    <w:rsid w:val="00B206D0"/>
    <w:rsid w:val="00B21754"/>
    <w:rsid w:val="00B33FED"/>
    <w:rsid w:val="00B35164"/>
    <w:rsid w:val="00B36218"/>
    <w:rsid w:val="00B40CCF"/>
    <w:rsid w:val="00B42870"/>
    <w:rsid w:val="00B45385"/>
    <w:rsid w:val="00B47078"/>
    <w:rsid w:val="00B5258F"/>
    <w:rsid w:val="00B52FF2"/>
    <w:rsid w:val="00B56821"/>
    <w:rsid w:val="00B56B3A"/>
    <w:rsid w:val="00B5788F"/>
    <w:rsid w:val="00B6037D"/>
    <w:rsid w:val="00B617C8"/>
    <w:rsid w:val="00B628F0"/>
    <w:rsid w:val="00B6295B"/>
    <w:rsid w:val="00B62CA3"/>
    <w:rsid w:val="00B64CA5"/>
    <w:rsid w:val="00B71529"/>
    <w:rsid w:val="00B72A2E"/>
    <w:rsid w:val="00B736FA"/>
    <w:rsid w:val="00B74E52"/>
    <w:rsid w:val="00B80FA2"/>
    <w:rsid w:val="00B866BB"/>
    <w:rsid w:val="00B87AAB"/>
    <w:rsid w:val="00B90BF9"/>
    <w:rsid w:val="00B91742"/>
    <w:rsid w:val="00B979EB"/>
    <w:rsid w:val="00BB0FDC"/>
    <w:rsid w:val="00BB1AB4"/>
    <w:rsid w:val="00BB446E"/>
    <w:rsid w:val="00BB4CF1"/>
    <w:rsid w:val="00BB5492"/>
    <w:rsid w:val="00BB7E4F"/>
    <w:rsid w:val="00BC6B30"/>
    <w:rsid w:val="00BD0093"/>
    <w:rsid w:val="00BD5B5E"/>
    <w:rsid w:val="00BD780B"/>
    <w:rsid w:val="00BE2C0E"/>
    <w:rsid w:val="00BE3A85"/>
    <w:rsid w:val="00BE4807"/>
    <w:rsid w:val="00BF42ED"/>
    <w:rsid w:val="00BF5665"/>
    <w:rsid w:val="00BF6557"/>
    <w:rsid w:val="00C024A9"/>
    <w:rsid w:val="00C05D45"/>
    <w:rsid w:val="00C0605A"/>
    <w:rsid w:val="00C0621B"/>
    <w:rsid w:val="00C06E2D"/>
    <w:rsid w:val="00C10724"/>
    <w:rsid w:val="00C1274E"/>
    <w:rsid w:val="00C14998"/>
    <w:rsid w:val="00C14F9D"/>
    <w:rsid w:val="00C155C8"/>
    <w:rsid w:val="00C21851"/>
    <w:rsid w:val="00C26C63"/>
    <w:rsid w:val="00C27A0A"/>
    <w:rsid w:val="00C32354"/>
    <w:rsid w:val="00C325A9"/>
    <w:rsid w:val="00C33CA3"/>
    <w:rsid w:val="00C3428A"/>
    <w:rsid w:val="00C3554E"/>
    <w:rsid w:val="00C36EA1"/>
    <w:rsid w:val="00C3710A"/>
    <w:rsid w:val="00C40A1C"/>
    <w:rsid w:val="00C46AC6"/>
    <w:rsid w:val="00C522A2"/>
    <w:rsid w:val="00C54756"/>
    <w:rsid w:val="00C553CA"/>
    <w:rsid w:val="00C56CC7"/>
    <w:rsid w:val="00C60CB0"/>
    <w:rsid w:val="00C61450"/>
    <w:rsid w:val="00C634FF"/>
    <w:rsid w:val="00C63889"/>
    <w:rsid w:val="00C63BB8"/>
    <w:rsid w:val="00C700E2"/>
    <w:rsid w:val="00C77D9A"/>
    <w:rsid w:val="00C916DD"/>
    <w:rsid w:val="00C91F9C"/>
    <w:rsid w:val="00C9262F"/>
    <w:rsid w:val="00C93F25"/>
    <w:rsid w:val="00C954A1"/>
    <w:rsid w:val="00C9760D"/>
    <w:rsid w:val="00CA4BAF"/>
    <w:rsid w:val="00CB006E"/>
    <w:rsid w:val="00CB0CF2"/>
    <w:rsid w:val="00CB0F8F"/>
    <w:rsid w:val="00CB1354"/>
    <w:rsid w:val="00CB2121"/>
    <w:rsid w:val="00CB399F"/>
    <w:rsid w:val="00CB4984"/>
    <w:rsid w:val="00CC3E11"/>
    <w:rsid w:val="00CC413C"/>
    <w:rsid w:val="00CD2922"/>
    <w:rsid w:val="00CD2FA0"/>
    <w:rsid w:val="00CD5FD3"/>
    <w:rsid w:val="00CD65A8"/>
    <w:rsid w:val="00CD6818"/>
    <w:rsid w:val="00CD6F0A"/>
    <w:rsid w:val="00CD7118"/>
    <w:rsid w:val="00CD7F93"/>
    <w:rsid w:val="00CE1B7F"/>
    <w:rsid w:val="00CE3DE9"/>
    <w:rsid w:val="00CE5277"/>
    <w:rsid w:val="00CE65AD"/>
    <w:rsid w:val="00CF397A"/>
    <w:rsid w:val="00D000EB"/>
    <w:rsid w:val="00D002BB"/>
    <w:rsid w:val="00D01389"/>
    <w:rsid w:val="00D015BE"/>
    <w:rsid w:val="00D03A66"/>
    <w:rsid w:val="00D05DB7"/>
    <w:rsid w:val="00D072BE"/>
    <w:rsid w:val="00D16041"/>
    <w:rsid w:val="00D17E74"/>
    <w:rsid w:val="00D24073"/>
    <w:rsid w:val="00D261A0"/>
    <w:rsid w:val="00D27CAB"/>
    <w:rsid w:val="00D3284F"/>
    <w:rsid w:val="00D341D5"/>
    <w:rsid w:val="00D35833"/>
    <w:rsid w:val="00D366A3"/>
    <w:rsid w:val="00D3711A"/>
    <w:rsid w:val="00D37833"/>
    <w:rsid w:val="00D42C0A"/>
    <w:rsid w:val="00D4365F"/>
    <w:rsid w:val="00D4488A"/>
    <w:rsid w:val="00D50215"/>
    <w:rsid w:val="00D5105C"/>
    <w:rsid w:val="00D515AF"/>
    <w:rsid w:val="00D564DF"/>
    <w:rsid w:val="00D56E73"/>
    <w:rsid w:val="00D60708"/>
    <w:rsid w:val="00D61C20"/>
    <w:rsid w:val="00D6280C"/>
    <w:rsid w:val="00D65553"/>
    <w:rsid w:val="00D66B66"/>
    <w:rsid w:val="00D673D9"/>
    <w:rsid w:val="00D7085D"/>
    <w:rsid w:val="00D75332"/>
    <w:rsid w:val="00D76E86"/>
    <w:rsid w:val="00D809A9"/>
    <w:rsid w:val="00D80C58"/>
    <w:rsid w:val="00D80DCC"/>
    <w:rsid w:val="00D80EC5"/>
    <w:rsid w:val="00D81C90"/>
    <w:rsid w:val="00D83D2D"/>
    <w:rsid w:val="00D8468D"/>
    <w:rsid w:val="00D86C41"/>
    <w:rsid w:val="00D90D95"/>
    <w:rsid w:val="00D91A1F"/>
    <w:rsid w:val="00D92834"/>
    <w:rsid w:val="00D93404"/>
    <w:rsid w:val="00D939F8"/>
    <w:rsid w:val="00DA016E"/>
    <w:rsid w:val="00DA1C1C"/>
    <w:rsid w:val="00DA7384"/>
    <w:rsid w:val="00DB4E44"/>
    <w:rsid w:val="00DB62A5"/>
    <w:rsid w:val="00DB7CF6"/>
    <w:rsid w:val="00DC06E2"/>
    <w:rsid w:val="00DC1310"/>
    <w:rsid w:val="00DC158E"/>
    <w:rsid w:val="00DC3153"/>
    <w:rsid w:val="00DC471D"/>
    <w:rsid w:val="00DC762A"/>
    <w:rsid w:val="00DD0044"/>
    <w:rsid w:val="00DD025F"/>
    <w:rsid w:val="00DD1B1E"/>
    <w:rsid w:val="00DD5407"/>
    <w:rsid w:val="00DD76D6"/>
    <w:rsid w:val="00DD7A32"/>
    <w:rsid w:val="00DD7FDB"/>
    <w:rsid w:val="00DE2B95"/>
    <w:rsid w:val="00DE6879"/>
    <w:rsid w:val="00DF3593"/>
    <w:rsid w:val="00DF48CA"/>
    <w:rsid w:val="00DF7055"/>
    <w:rsid w:val="00E02753"/>
    <w:rsid w:val="00E02CED"/>
    <w:rsid w:val="00E03C7E"/>
    <w:rsid w:val="00E07E85"/>
    <w:rsid w:val="00E1187F"/>
    <w:rsid w:val="00E11AC3"/>
    <w:rsid w:val="00E1568A"/>
    <w:rsid w:val="00E20F3B"/>
    <w:rsid w:val="00E220FD"/>
    <w:rsid w:val="00E240DB"/>
    <w:rsid w:val="00E25213"/>
    <w:rsid w:val="00E31636"/>
    <w:rsid w:val="00E31846"/>
    <w:rsid w:val="00E3192B"/>
    <w:rsid w:val="00E31962"/>
    <w:rsid w:val="00E31BED"/>
    <w:rsid w:val="00E32120"/>
    <w:rsid w:val="00E34606"/>
    <w:rsid w:val="00E36BA8"/>
    <w:rsid w:val="00E37CB3"/>
    <w:rsid w:val="00E4239C"/>
    <w:rsid w:val="00E427EB"/>
    <w:rsid w:val="00E45D2C"/>
    <w:rsid w:val="00E465F2"/>
    <w:rsid w:val="00E46EBE"/>
    <w:rsid w:val="00E47A4F"/>
    <w:rsid w:val="00E5061E"/>
    <w:rsid w:val="00E51054"/>
    <w:rsid w:val="00E5215E"/>
    <w:rsid w:val="00E53B4E"/>
    <w:rsid w:val="00E53D11"/>
    <w:rsid w:val="00E53D5F"/>
    <w:rsid w:val="00E55C92"/>
    <w:rsid w:val="00E65632"/>
    <w:rsid w:val="00E66E80"/>
    <w:rsid w:val="00E67B6A"/>
    <w:rsid w:val="00E70D12"/>
    <w:rsid w:val="00E7128A"/>
    <w:rsid w:val="00E7359C"/>
    <w:rsid w:val="00E74F2A"/>
    <w:rsid w:val="00E76005"/>
    <w:rsid w:val="00E84160"/>
    <w:rsid w:val="00E86D98"/>
    <w:rsid w:val="00E86EE6"/>
    <w:rsid w:val="00E92685"/>
    <w:rsid w:val="00E942D2"/>
    <w:rsid w:val="00E973BA"/>
    <w:rsid w:val="00E974D7"/>
    <w:rsid w:val="00EA28AF"/>
    <w:rsid w:val="00EA3557"/>
    <w:rsid w:val="00EA78F3"/>
    <w:rsid w:val="00EB02D7"/>
    <w:rsid w:val="00EB1120"/>
    <w:rsid w:val="00EB18DC"/>
    <w:rsid w:val="00EB529C"/>
    <w:rsid w:val="00EC0D5C"/>
    <w:rsid w:val="00EC4844"/>
    <w:rsid w:val="00EC5BB8"/>
    <w:rsid w:val="00ED0BF6"/>
    <w:rsid w:val="00ED0E49"/>
    <w:rsid w:val="00ED58B2"/>
    <w:rsid w:val="00ED5D64"/>
    <w:rsid w:val="00ED5F82"/>
    <w:rsid w:val="00ED72E3"/>
    <w:rsid w:val="00EE0A6C"/>
    <w:rsid w:val="00EE1412"/>
    <w:rsid w:val="00EE1805"/>
    <w:rsid w:val="00EE1E8A"/>
    <w:rsid w:val="00EE2521"/>
    <w:rsid w:val="00EE3505"/>
    <w:rsid w:val="00EE5BC8"/>
    <w:rsid w:val="00EE71DB"/>
    <w:rsid w:val="00EF0535"/>
    <w:rsid w:val="00EF2977"/>
    <w:rsid w:val="00EF349F"/>
    <w:rsid w:val="00EF408B"/>
    <w:rsid w:val="00EF59C7"/>
    <w:rsid w:val="00EF5BEB"/>
    <w:rsid w:val="00EF5D1B"/>
    <w:rsid w:val="00EF62ED"/>
    <w:rsid w:val="00EF6CE0"/>
    <w:rsid w:val="00F00238"/>
    <w:rsid w:val="00F0558B"/>
    <w:rsid w:val="00F10FA5"/>
    <w:rsid w:val="00F11553"/>
    <w:rsid w:val="00F13C91"/>
    <w:rsid w:val="00F159B6"/>
    <w:rsid w:val="00F225D3"/>
    <w:rsid w:val="00F23671"/>
    <w:rsid w:val="00F31685"/>
    <w:rsid w:val="00F35D09"/>
    <w:rsid w:val="00F364B7"/>
    <w:rsid w:val="00F36A4D"/>
    <w:rsid w:val="00F4037B"/>
    <w:rsid w:val="00F40933"/>
    <w:rsid w:val="00F43450"/>
    <w:rsid w:val="00F437D4"/>
    <w:rsid w:val="00F46983"/>
    <w:rsid w:val="00F513CC"/>
    <w:rsid w:val="00F5771C"/>
    <w:rsid w:val="00F61418"/>
    <w:rsid w:val="00F63C92"/>
    <w:rsid w:val="00F649AA"/>
    <w:rsid w:val="00F65AC2"/>
    <w:rsid w:val="00F72E0E"/>
    <w:rsid w:val="00F80E98"/>
    <w:rsid w:val="00F842D9"/>
    <w:rsid w:val="00F84CB4"/>
    <w:rsid w:val="00F85012"/>
    <w:rsid w:val="00F865E8"/>
    <w:rsid w:val="00F86800"/>
    <w:rsid w:val="00F86E4F"/>
    <w:rsid w:val="00F916EF"/>
    <w:rsid w:val="00F93AAB"/>
    <w:rsid w:val="00F9498D"/>
    <w:rsid w:val="00F94E4D"/>
    <w:rsid w:val="00F95CA4"/>
    <w:rsid w:val="00F96801"/>
    <w:rsid w:val="00F97C91"/>
    <w:rsid w:val="00FA0504"/>
    <w:rsid w:val="00FA2257"/>
    <w:rsid w:val="00FA3AA7"/>
    <w:rsid w:val="00FA3F81"/>
    <w:rsid w:val="00FA4FA5"/>
    <w:rsid w:val="00FB16AA"/>
    <w:rsid w:val="00FB36FA"/>
    <w:rsid w:val="00FC119F"/>
    <w:rsid w:val="00FC1609"/>
    <w:rsid w:val="00FC435B"/>
    <w:rsid w:val="00FC5DC1"/>
    <w:rsid w:val="00FC72BC"/>
    <w:rsid w:val="00FC72F4"/>
    <w:rsid w:val="00FD1643"/>
    <w:rsid w:val="00FD2BED"/>
    <w:rsid w:val="00FD39F8"/>
    <w:rsid w:val="00FD4911"/>
    <w:rsid w:val="00FD50FE"/>
    <w:rsid w:val="00FD5665"/>
    <w:rsid w:val="00FD734A"/>
    <w:rsid w:val="00FD73F2"/>
    <w:rsid w:val="00FE18F1"/>
    <w:rsid w:val="00FE1A3D"/>
    <w:rsid w:val="00FE21C2"/>
    <w:rsid w:val="00FE3E46"/>
    <w:rsid w:val="00FF01D2"/>
    <w:rsid w:val="00FF08C0"/>
    <w:rsid w:val="00FF2E8C"/>
    <w:rsid w:val="00FF2F79"/>
    <w:rsid w:val="00FF305F"/>
    <w:rsid w:val="00FF74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49D0"/>
  <w15:chartTrackingRefBased/>
  <w15:docId w15:val="{81CB11B2-8DBF-4408-B8E2-3665C781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7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47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47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47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47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47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47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47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7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7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47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47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47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47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47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47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47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4732"/>
    <w:rPr>
      <w:rFonts w:eastAsiaTheme="majorEastAsia" w:cstheme="majorBidi"/>
      <w:color w:val="272727" w:themeColor="text1" w:themeTint="D8"/>
    </w:rPr>
  </w:style>
  <w:style w:type="paragraph" w:styleId="Title">
    <w:name w:val="Title"/>
    <w:basedOn w:val="Normal"/>
    <w:next w:val="Normal"/>
    <w:link w:val="TitleChar"/>
    <w:uiPriority w:val="10"/>
    <w:qFormat/>
    <w:rsid w:val="000647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7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7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7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4732"/>
    <w:pPr>
      <w:spacing w:before="160"/>
      <w:jc w:val="center"/>
    </w:pPr>
    <w:rPr>
      <w:i/>
      <w:iCs/>
      <w:color w:val="404040" w:themeColor="text1" w:themeTint="BF"/>
    </w:rPr>
  </w:style>
  <w:style w:type="character" w:customStyle="1" w:styleId="QuoteChar">
    <w:name w:val="Quote Char"/>
    <w:basedOn w:val="DefaultParagraphFont"/>
    <w:link w:val="Quote"/>
    <w:uiPriority w:val="29"/>
    <w:rsid w:val="00064732"/>
    <w:rPr>
      <w:i/>
      <w:iCs/>
      <w:color w:val="404040" w:themeColor="text1" w:themeTint="BF"/>
    </w:rPr>
  </w:style>
  <w:style w:type="paragraph" w:styleId="ListParagraph">
    <w:name w:val="List Paragraph"/>
    <w:basedOn w:val="Normal"/>
    <w:uiPriority w:val="34"/>
    <w:qFormat/>
    <w:rsid w:val="00064732"/>
    <w:pPr>
      <w:ind w:left="720"/>
      <w:contextualSpacing/>
    </w:pPr>
  </w:style>
  <w:style w:type="character" w:styleId="IntenseEmphasis">
    <w:name w:val="Intense Emphasis"/>
    <w:basedOn w:val="DefaultParagraphFont"/>
    <w:uiPriority w:val="21"/>
    <w:qFormat/>
    <w:rsid w:val="00064732"/>
    <w:rPr>
      <w:i/>
      <w:iCs/>
      <w:color w:val="0F4761" w:themeColor="accent1" w:themeShade="BF"/>
    </w:rPr>
  </w:style>
  <w:style w:type="paragraph" w:styleId="IntenseQuote">
    <w:name w:val="Intense Quote"/>
    <w:basedOn w:val="Normal"/>
    <w:next w:val="Normal"/>
    <w:link w:val="IntenseQuoteChar"/>
    <w:uiPriority w:val="30"/>
    <w:qFormat/>
    <w:rsid w:val="000647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4732"/>
    <w:rPr>
      <w:i/>
      <w:iCs/>
      <w:color w:val="0F4761" w:themeColor="accent1" w:themeShade="BF"/>
    </w:rPr>
  </w:style>
  <w:style w:type="character" w:styleId="IntenseReference">
    <w:name w:val="Intense Reference"/>
    <w:basedOn w:val="DefaultParagraphFont"/>
    <w:uiPriority w:val="32"/>
    <w:qFormat/>
    <w:rsid w:val="00064732"/>
    <w:rPr>
      <w:b/>
      <w:bCs/>
      <w:smallCaps/>
      <w:color w:val="0F4761" w:themeColor="accent1" w:themeShade="BF"/>
      <w:spacing w:val="5"/>
    </w:rPr>
  </w:style>
  <w:style w:type="character" w:styleId="Hyperlink">
    <w:name w:val="Hyperlink"/>
    <w:basedOn w:val="DefaultParagraphFont"/>
    <w:uiPriority w:val="99"/>
    <w:unhideWhenUsed/>
    <w:rsid w:val="001917E6"/>
    <w:rPr>
      <w:color w:val="467886" w:themeColor="hyperlink"/>
      <w:u w:val="single"/>
    </w:rPr>
  </w:style>
  <w:style w:type="character" w:styleId="UnresolvedMention">
    <w:name w:val="Unresolved Mention"/>
    <w:basedOn w:val="DefaultParagraphFont"/>
    <w:uiPriority w:val="99"/>
    <w:semiHidden/>
    <w:unhideWhenUsed/>
    <w:rsid w:val="001917E6"/>
    <w:rPr>
      <w:color w:val="605E5C"/>
      <w:shd w:val="clear" w:color="auto" w:fill="E1DFDD"/>
    </w:rPr>
  </w:style>
  <w:style w:type="paragraph" w:styleId="Header">
    <w:name w:val="header"/>
    <w:basedOn w:val="Normal"/>
    <w:link w:val="HeaderChar"/>
    <w:uiPriority w:val="99"/>
    <w:unhideWhenUsed/>
    <w:rsid w:val="00BE3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A85"/>
  </w:style>
  <w:style w:type="paragraph" w:styleId="Footer">
    <w:name w:val="footer"/>
    <w:basedOn w:val="Normal"/>
    <w:link w:val="FooterChar"/>
    <w:uiPriority w:val="99"/>
    <w:unhideWhenUsed/>
    <w:rsid w:val="00BE3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A85"/>
  </w:style>
  <w:style w:type="paragraph" w:styleId="FootnoteText">
    <w:name w:val="footnote text"/>
    <w:basedOn w:val="Normal"/>
    <w:link w:val="FootnoteTextChar"/>
    <w:uiPriority w:val="99"/>
    <w:semiHidden/>
    <w:unhideWhenUsed/>
    <w:rsid w:val="000C11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1101"/>
    <w:rPr>
      <w:sz w:val="20"/>
      <w:szCs w:val="20"/>
    </w:rPr>
  </w:style>
  <w:style w:type="character" w:styleId="FootnoteReference">
    <w:name w:val="footnote reference"/>
    <w:basedOn w:val="DefaultParagraphFont"/>
    <w:uiPriority w:val="99"/>
    <w:semiHidden/>
    <w:unhideWhenUsed/>
    <w:rsid w:val="000C1101"/>
    <w:rPr>
      <w:vertAlign w:val="superscript"/>
    </w:rPr>
  </w:style>
  <w:style w:type="paragraph" w:styleId="CommentText">
    <w:name w:val="annotation text"/>
    <w:basedOn w:val="Normal"/>
    <w:link w:val="CommentTextChar"/>
    <w:uiPriority w:val="99"/>
    <w:unhideWhenUsed/>
    <w:rsid w:val="003B6E73"/>
    <w:pPr>
      <w:spacing w:after="220" w:line="240" w:lineRule="auto"/>
    </w:pPr>
    <w:rPr>
      <w:rFonts w:ascii="Verdana" w:hAnsi="Verdana"/>
      <w:kern w:val="0"/>
      <w:sz w:val="20"/>
      <w:szCs w:val="20"/>
      <w:lang w:val="en-GB"/>
      <w14:ligatures w14:val="none"/>
    </w:rPr>
  </w:style>
  <w:style w:type="character" w:customStyle="1" w:styleId="CommentTextChar">
    <w:name w:val="Comment Text Char"/>
    <w:basedOn w:val="DefaultParagraphFont"/>
    <w:link w:val="CommentText"/>
    <w:uiPriority w:val="99"/>
    <w:rsid w:val="003B6E73"/>
    <w:rPr>
      <w:rFonts w:ascii="Verdana" w:hAnsi="Verdana"/>
      <w:kern w:val="0"/>
      <w:sz w:val="20"/>
      <w:szCs w:val="20"/>
      <w:lang w:val="en-GB"/>
      <w14:ligatures w14:val="none"/>
    </w:rPr>
  </w:style>
  <w:style w:type="paragraph" w:styleId="Caption">
    <w:name w:val="caption"/>
    <w:basedOn w:val="Normal"/>
    <w:next w:val="Normal"/>
    <w:uiPriority w:val="35"/>
    <w:semiHidden/>
    <w:unhideWhenUsed/>
    <w:qFormat/>
    <w:rsid w:val="00E427EB"/>
    <w:pPr>
      <w:spacing w:line="240" w:lineRule="auto"/>
    </w:pPr>
    <w:rPr>
      <w:rFonts w:eastAsiaTheme="minorEastAsia"/>
      <w:b/>
      <w:bCs/>
      <w:color w:val="404040" w:themeColor="text1" w:themeTint="BF"/>
      <w:kern w:val="0"/>
      <w:sz w:val="16"/>
      <w:szCs w:val="16"/>
      <w14:ligatures w14:val="none"/>
    </w:rPr>
  </w:style>
  <w:style w:type="character" w:styleId="PlaceholderText">
    <w:name w:val="Placeholder Text"/>
    <w:basedOn w:val="DefaultParagraphFont"/>
    <w:uiPriority w:val="99"/>
    <w:semiHidden/>
    <w:rsid w:val="001C39D5"/>
    <w:rPr>
      <w:color w:val="666666"/>
    </w:rPr>
  </w:style>
  <w:style w:type="paragraph" w:styleId="Revision">
    <w:name w:val="Revision"/>
    <w:hidden/>
    <w:uiPriority w:val="99"/>
    <w:semiHidden/>
    <w:rsid w:val="00AD1A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bridge4palestine@proton.m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m.ac.uk/notice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bloodonyourhands@systemli.org" TargetMode="External"/><Relationship Id="rId4" Type="http://schemas.openxmlformats.org/officeDocument/2006/relationships/webSettings" Target="webSettings.xml"/><Relationship Id="rId9" Type="http://schemas.openxmlformats.org/officeDocument/2006/relationships/hyperlink" Target="mailto:encampmentnegotiations@proton.m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5</Pages>
  <Words>6529</Words>
  <Characters>34085</Characters>
  <DocSecurity>0</DocSecurity>
  <Lines>619</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40394</CharactersWithSpaces>
  <SharedDoc>false</SharedDoc>
  <HLinks>
    <vt:vector size="24" baseType="variant">
      <vt:variant>
        <vt:i4>3932170</vt:i4>
      </vt:variant>
      <vt:variant>
        <vt:i4>9</vt:i4>
      </vt:variant>
      <vt:variant>
        <vt:i4>0</vt:i4>
      </vt:variant>
      <vt:variant>
        <vt:i4>5</vt:i4>
      </vt:variant>
      <vt:variant>
        <vt:lpwstr>mailto:bloodonyourhands@systemli.org</vt:lpwstr>
      </vt:variant>
      <vt:variant>
        <vt:lpwstr/>
      </vt:variant>
      <vt:variant>
        <vt:i4>5505137</vt:i4>
      </vt:variant>
      <vt:variant>
        <vt:i4>6</vt:i4>
      </vt:variant>
      <vt:variant>
        <vt:i4>0</vt:i4>
      </vt:variant>
      <vt:variant>
        <vt:i4>5</vt:i4>
      </vt:variant>
      <vt:variant>
        <vt:lpwstr>mailto:encampmentnegotiations@proton.me</vt:lpwstr>
      </vt:variant>
      <vt:variant>
        <vt:lpwstr/>
      </vt:variant>
      <vt:variant>
        <vt:i4>4653096</vt:i4>
      </vt:variant>
      <vt:variant>
        <vt:i4>3</vt:i4>
      </vt:variant>
      <vt:variant>
        <vt:i4>0</vt:i4>
      </vt:variant>
      <vt:variant>
        <vt:i4>5</vt:i4>
      </vt:variant>
      <vt:variant>
        <vt:lpwstr>mailto:cambridge4palestine@proton.me</vt:lpwstr>
      </vt:variant>
      <vt:variant>
        <vt:lpwstr/>
      </vt:variant>
      <vt:variant>
        <vt:i4>720965</vt:i4>
      </vt:variant>
      <vt:variant>
        <vt:i4>0</vt:i4>
      </vt:variant>
      <vt:variant>
        <vt:i4>0</vt:i4>
      </vt:variant>
      <vt:variant>
        <vt:i4>5</vt:i4>
      </vt:variant>
      <vt:variant>
        <vt:lpwstr>http://www.cam.ac.uk/notices</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cp:coreProperties>
</file>